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B9B" w:rsidRDefault="002976D4" w:rsidP="001C7B9B">
      <w:pPr>
        <w:pStyle w:val="Textoindependiente"/>
        <w:spacing w:line="240" w:lineRule="auto"/>
        <w:rPr>
          <w:rFonts w:ascii="Calibri" w:hAnsi="Calibri" w:cs="Tahoma"/>
          <w:b/>
          <w:noProof/>
          <w:lang w:val="es-ES"/>
        </w:rPr>
      </w:pPr>
      <w:r>
        <w:rPr>
          <w:rFonts w:ascii="Calibri" w:hAnsi="Calibri" w:cs="Tahoma"/>
          <w:b/>
          <w:noProof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3.4pt;margin-top:-20.7pt;width:49.8pt;height:46.4pt;z-index:-251658240" fillcolor="window">
            <v:imagedata r:id="rId5" o:title="" croptop="7672f" cropbottom="9916f" cropleft="6620f" cropright="5296f"/>
          </v:shape>
          <o:OLEObject Type="Embed" ProgID="Word.Picture.8" ShapeID="_x0000_s1026" DrawAspect="Content" ObjectID="_1426343184" r:id="rId6"/>
        </w:pict>
      </w:r>
      <w:r w:rsidR="001C7B9B">
        <w:rPr>
          <w:rFonts w:ascii="Calibri" w:hAnsi="Calibri" w:cs="Tahoma"/>
          <w:b/>
          <w:noProof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189127</wp:posOffset>
            </wp:positionH>
            <wp:positionV relativeFrom="paragraph">
              <wp:posOffset>-356870</wp:posOffset>
            </wp:positionV>
            <wp:extent cx="733425" cy="762000"/>
            <wp:effectExtent l="19050" t="0" r="9525" b="0"/>
            <wp:wrapNone/>
            <wp:docPr id="3" name="Imagen 10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B9B" w:rsidRDefault="001C7B9B" w:rsidP="001C7B9B">
      <w:pPr>
        <w:pStyle w:val="Textoindependiente"/>
        <w:spacing w:line="240" w:lineRule="auto"/>
        <w:rPr>
          <w:rFonts w:ascii="Calibri" w:hAnsi="Calibri" w:cs="Tahoma"/>
          <w:b/>
          <w:noProof/>
          <w:lang w:val="es-ES"/>
        </w:rPr>
      </w:pPr>
    </w:p>
    <w:p w:rsidR="001C7B9B" w:rsidRDefault="001C7B9B" w:rsidP="001C7B9B">
      <w:pPr>
        <w:pStyle w:val="Textoindependiente"/>
        <w:spacing w:line="240" w:lineRule="auto"/>
        <w:rPr>
          <w:rFonts w:ascii="Calibri" w:hAnsi="Calibri" w:cs="Tahoma"/>
          <w:b/>
          <w:noProof/>
          <w:lang w:val="es-ES"/>
        </w:rPr>
      </w:pPr>
    </w:p>
    <w:p w:rsidR="001C7B9B" w:rsidRDefault="001C7B9B" w:rsidP="001C7B9B">
      <w:pPr>
        <w:pStyle w:val="Textoindependiente"/>
        <w:spacing w:line="240" w:lineRule="auto"/>
        <w:rPr>
          <w:rFonts w:ascii="Calibri" w:hAnsi="Calibri" w:cs="Tahoma"/>
          <w:b/>
          <w:noProof/>
          <w:lang w:val="es-ES"/>
        </w:rPr>
      </w:pPr>
      <w:r>
        <w:rPr>
          <w:rFonts w:ascii="Calibri" w:hAnsi="Calibri" w:cs="Tahoma"/>
          <w:b/>
          <w:noProof/>
          <w:lang w:val="es-ES"/>
        </w:rPr>
        <w:t>Comité Técnico Amateur Femenino</w:t>
      </w:r>
    </w:p>
    <w:p w:rsidR="001C7B9B" w:rsidRDefault="001C7B9B" w:rsidP="001C7B9B">
      <w:pPr>
        <w:pStyle w:val="Textoindependiente"/>
        <w:spacing w:line="240" w:lineRule="auto"/>
        <w:rPr>
          <w:rFonts w:ascii="Calibri" w:hAnsi="Calibri" w:cs="Tahoma"/>
          <w:b/>
          <w:noProof/>
          <w:lang w:val="es-ES"/>
        </w:rPr>
      </w:pPr>
    </w:p>
    <w:p w:rsidR="001C7B9B" w:rsidRPr="001C7B9B" w:rsidRDefault="001C7B9B" w:rsidP="001C7B9B">
      <w:pPr>
        <w:pStyle w:val="Textoindependiente"/>
        <w:spacing w:line="240" w:lineRule="auto"/>
        <w:rPr>
          <w:rFonts w:ascii="Calibri" w:hAnsi="Calibri" w:cs="Tahoma"/>
          <w:b/>
          <w:color w:val="000099"/>
        </w:rPr>
      </w:pPr>
      <w:r w:rsidRPr="001C7B9B">
        <w:rPr>
          <w:rFonts w:ascii="Calibri" w:hAnsi="Calibri" w:cs="Tahoma"/>
          <w:b/>
          <w:noProof/>
          <w:color w:val="000099"/>
          <w:lang w:val="es-ES"/>
        </w:rPr>
        <w:t>REGLAMENTACIÓN SOBRE PRÁCTICAS ANTES DEL CAMPEONATO</w:t>
      </w:r>
    </w:p>
    <w:p w:rsidR="001C7B9B" w:rsidRPr="00FC4E8F" w:rsidRDefault="001C7B9B" w:rsidP="001C7B9B">
      <w:pPr>
        <w:pStyle w:val="Textoindependiente"/>
        <w:spacing w:line="240" w:lineRule="auto"/>
        <w:rPr>
          <w:rFonts w:ascii="Calibri" w:hAnsi="Calibri" w:cs="Tahoma"/>
        </w:rPr>
      </w:pP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>Con el propósito de cuidar el campo, poder ofrecerlo en las mejores condiciones los días de la competición, y mantener un ritmo óptimo de juego durante la vuelta de entrenamiento, las jugadoras deberán seguir las siguientes pautas: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numPr>
          <w:ilvl w:val="0"/>
          <w:numId w:val="1"/>
        </w:num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La vuelta de entrenamiento se jugará con </w:t>
      </w:r>
      <w:r w:rsidRPr="001C7B9B">
        <w:rPr>
          <w:rFonts w:ascii="Calibri" w:hAnsi="Calibri" w:cs="Tahoma"/>
          <w:sz w:val="28"/>
          <w:szCs w:val="28"/>
          <w:u w:val="single"/>
        </w:rPr>
        <w:t>una sola bola</w:t>
      </w:r>
      <w:r w:rsidRPr="001C7B9B">
        <w:rPr>
          <w:rFonts w:ascii="Calibri" w:hAnsi="Calibri" w:cs="Tahoma"/>
          <w:sz w:val="28"/>
          <w:szCs w:val="28"/>
        </w:rPr>
        <w:t xml:space="preserve"> con las siguientes excepciones: 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numPr>
          <w:ilvl w:val="0"/>
          <w:numId w:val="2"/>
        </w:num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En las salidas de los pares 4 y 5, sólo se podrá repetir el golpe </w:t>
      </w:r>
      <w:r w:rsidRPr="001C7B9B">
        <w:rPr>
          <w:rFonts w:ascii="Calibri" w:hAnsi="Calibri" w:cs="Tahoma"/>
          <w:sz w:val="28"/>
          <w:szCs w:val="28"/>
          <w:u w:val="single"/>
        </w:rPr>
        <w:t>una vez</w:t>
      </w:r>
      <w:r w:rsidRPr="001C7B9B">
        <w:rPr>
          <w:rFonts w:ascii="Calibri" w:hAnsi="Calibri" w:cs="Tahoma"/>
          <w:sz w:val="28"/>
          <w:szCs w:val="28"/>
        </w:rPr>
        <w:t xml:space="preserve"> cuando se falle la calle. </w:t>
      </w:r>
    </w:p>
    <w:p w:rsidR="001C7B9B" w:rsidRPr="001C7B9B" w:rsidRDefault="001C7B9B" w:rsidP="001C7B9B">
      <w:pPr>
        <w:ind w:left="360"/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 </w:t>
      </w:r>
    </w:p>
    <w:p w:rsidR="001C7B9B" w:rsidRPr="001C7B9B" w:rsidRDefault="001C7B9B" w:rsidP="001C7B9B">
      <w:pPr>
        <w:numPr>
          <w:ilvl w:val="0"/>
          <w:numId w:val="2"/>
        </w:num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En los golpes de aproximación a </w:t>
      </w:r>
      <w:proofErr w:type="spellStart"/>
      <w:r w:rsidRPr="001C7B9B">
        <w:rPr>
          <w:rFonts w:ascii="Calibri" w:hAnsi="Calibri" w:cs="Tahoma"/>
          <w:sz w:val="28"/>
          <w:szCs w:val="28"/>
        </w:rPr>
        <w:t>green</w:t>
      </w:r>
      <w:proofErr w:type="spellEnd"/>
      <w:r w:rsidRPr="001C7B9B">
        <w:rPr>
          <w:rFonts w:ascii="Calibri" w:hAnsi="Calibri" w:cs="Tahoma"/>
          <w:sz w:val="28"/>
          <w:szCs w:val="28"/>
        </w:rPr>
        <w:t xml:space="preserve"> y salidas de pares 3 se podrá repetir el golpe </w:t>
      </w:r>
      <w:r w:rsidRPr="001C7B9B">
        <w:rPr>
          <w:rFonts w:ascii="Calibri" w:hAnsi="Calibri" w:cs="Tahoma"/>
          <w:sz w:val="28"/>
          <w:szCs w:val="28"/>
          <w:u w:val="single"/>
        </w:rPr>
        <w:t>una sola vez</w:t>
      </w:r>
      <w:r w:rsidRPr="001C7B9B">
        <w:rPr>
          <w:rFonts w:ascii="Calibri" w:hAnsi="Calibri" w:cs="Tahoma"/>
          <w:sz w:val="28"/>
          <w:szCs w:val="28"/>
        </w:rPr>
        <w:t xml:space="preserve"> cuando se falle el </w:t>
      </w:r>
      <w:proofErr w:type="spellStart"/>
      <w:r w:rsidRPr="001C7B9B">
        <w:rPr>
          <w:rFonts w:ascii="Calibri" w:hAnsi="Calibri" w:cs="Tahoma"/>
          <w:sz w:val="28"/>
          <w:szCs w:val="28"/>
        </w:rPr>
        <w:t>green</w:t>
      </w:r>
      <w:proofErr w:type="spellEnd"/>
      <w:r w:rsidRPr="001C7B9B">
        <w:rPr>
          <w:rFonts w:ascii="Calibri" w:hAnsi="Calibri" w:cs="Tahoma"/>
          <w:sz w:val="28"/>
          <w:szCs w:val="28"/>
        </w:rPr>
        <w:t>.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ind w:left="360"/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>Estas excepciones serán de aplicación siempre que el partido de atrás no esté esperando.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numPr>
          <w:ilvl w:val="0"/>
          <w:numId w:val="1"/>
        </w:num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La repetición de golpes de bunkers y chips alrededor del </w:t>
      </w:r>
      <w:proofErr w:type="spellStart"/>
      <w:r w:rsidRPr="001C7B9B">
        <w:rPr>
          <w:rFonts w:ascii="Calibri" w:hAnsi="Calibri" w:cs="Tahoma"/>
          <w:sz w:val="28"/>
          <w:szCs w:val="28"/>
        </w:rPr>
        <w:t>green</w:t>
      </w:r>
      <w:proofErr w:type="spellEnd"/>
      <w:r w:rsidRPr="001C7B9B">
        <w:rPr>
          <w:rFonts w:ascii="Calibri" w:hAnsi="Calibri" w:cs="Tahoma"/>
          <w:sz w:val="28"/>
          <w:szCs w:val="28"/>
        </w:rPr>
        <w:t xml:space="preserve"> no está permitida.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numPr>
          <w:ilvl w:val="0"/>
          <w:numId w:val="1"/>
        </w:numPr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En beneficio de todos, la jugadora tendrá especial cuidado en: 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numPr>
          <w:ilvl w:val="0"/>
          <w:numId w:val="3"/>
        </w:numPr>
        <w:tabs>
          <w:tab w:val="num" w:pos="1080"/>
        </w:tabs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Reparar los piques de los </w:t>
      </w:r>
      <w:proofErr w:type="spellStart"/>
      <w:r w:rsidRPr="001C7B9B">
        <w:rPr>
          <w:rFonts w:ascii="Calibri" w:hAnsi="Calibri" w:cs="Tahoma"/>
          <w:sz w:val="28"/>
          <w:szCs w:val="28"/>
        </w:rPr>
        <w:t>greenes</w:t>
      </w:r>
      <w:proofErr w:type="spellEnd"/>
      <w:r w:rsidRPr="001C7B9B">
        <w:rPr>
          <w:rFonts w:ascii="Calibri" w:hAnsi="Calibri" w:cs="Tahoma"/>
          <w:sz w:val="28"/>
          <w:szCs w:val="28"/>
        </w:rPr>
        <w:t>.</w:t>
      </w:r>
    </w:p>
    <w:p w:rsidR="001C7B9B" w:rsidRPr="001C7B9B" w:rsidRDefault="001C7B9B" w:rsidP="001C7B9B">
      <w:pPr>
        <w:numPr>
          <w:ilvl w:val="0"/>
          <w:numId w:val="3"/>
        </w:numPr>
        <w:tabs>
          <w:tab w:val="num" w:pos="1080"/>
        </w:tabs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>Rastrillar los bunkers.</w:t>
      </w:r>
    </w:p>
    <w:p w:rsidR="001C7B9B" w:rsidRPr="001C7B9B" w:rsidRDefault="001C7B9B" w:rsidP="001C7B9B">
      <w:pPr>
        <w:numPr>
          <w:ilvl w:val="0"/>
          <w:numId w:val="3"/>
        </w:numPr>
        <w:tabs>
          <w:tab w:val="num" w:pos="1080"/>
        </w:tabs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>Reponer chuletas.</w:t>
      </w:r>
    </w:p>
    <w:p w:rsidR="001C7B9B" w:rsidRPr="001C7B9B" w:rsidRDefault="001C7B9B" w:rsidP="001C7B9B">
      <w:pPr>
        <w:numPr>
          <w:ilvl w:val="0"/>
          <w:numId w:val="3"/>
        </w:numPr>
        <w:tabs>
          <w:tab w:val="num" w:pos="1080"/>
        </w:tabs>
        <w:jc w:val="both"/>
        <w:rPr>
          <w:rFonts w:ascii="Calibri" w:hAnsi="Calibri" w:cs="Tahoma"/>
          <w:sz w:val="28"/>
          <w:szCs w:val="28"/>
        </w:rPr>
      </w:pPr>
      <w:r w:rsidRPr="001C7B9B">
        <w:rPr>
          <w:rFonts w:ascii="Calibri" w:hAnsi="Calibri" w:cs="Tahoma"/>
          <w:sz w:val="28"/>
          <w:szCs w:val="28"/>
        </w:rPr>
        <w:t xml:space="preserve">Respetar las indicaciones que existan para la circulación de carritos procurando siempre bordear los bunkers de alrededor del </w:t>
      </w:r>
      <w:proofErr w:type="spellStart"/>
      <w:r w:rsidRPr="001C7B9B">
        <w:rPr>
          <w:rFonts w:ascii="Calibri" w:hAnsi="Calibri" w:cs="Tahoma"/>
          <w:sz w:val="28"/>
          <w:szCs w:val="28"/>
        </w:rPr>
        <w:t>green</w:t>
      </w:r>
      <w:proofErr w:type="spellEnd"/>
      <w:r w:rsidRPr="001C7B9B">
        <w:rPr>
          <w:rFonts w:ascii="Calibri" w:hAnsi="Calibri" w:cs="Tahoma"/>
          <w:sz w:val="28"/>
          <w:szCs w:val="28"/>
        </w:rPr>
        <w:t xml:space="preserve"> y manteniéndolos fuera de los </w:t>
      </w:r>
      <w:proofErr w:type="spellStart"/>
      <w:r w:rsidRPr="001C7B9B">
        <w:rPr>
          <w:rFonts w:ascii="Calibri" w:hAnsi="Calibri" w:cs="Tahoma"/>
          <w:sz w:val="28"/>
          <w:szCs w:val="28"/>
        </w:rPr>
        <w:t>tees</w:t>
      </w:r>
      <w:proofErr w:type="spellEnd"/>
      <w:r w:rsidRPr="001C7B9B">
        <w:rPr>
          <w:rFonts w:ascii="Calibri" w:hAnsi="Calibri" w:cs="Tahoma"/>
          <w:sz w:val="28"/>
          <w:szCs w:val="28"/>
        </w:rPr>
        <w:t xml:space="preserve"> de salida.</w:t>
      </w:r>
    </w:p>
    <w:p w:rsidR="001C7B9B" w:rsidRPr="001C7B9B" w:rsidRDefault="001C7B9B" w:rsidP="001C7B9B">
      <w:pPr>
        <w:jc w:val="both"/>
        <w:rPr>
          <w:rFonts w:ascii="Calibri" w:hAnsi="Calibri" w:cs="Tahoma"/>
          <w:sz w:val="28"/>
          <w:szCs w:val="28"/>
        </w:rPr>
      </w:pPr>
    </w:p>
    <w:p w:rsidR="001C7B9B" w:rsidRPr="001C7B9B" w:rsidRDefault="001C7B9B" w:rsidP="001C7B9B">
      <w:pPr>
        <w:jc w:val="center"/>
        <w:rPr>
          <w:rFonts w:ascii="Calibri" w:hAnsi="Calibri" w:cs="Tahoma"/>
          <w:b/>
          <w:sz w:val="28"/>
          <w:szCs w:val="28"/>
        </w:rPr>
      </w:pPr>
      <w:r w:rsidRPr="001C7B9B">
        <w:rPr>
          <w:rFonts w:ascii="Calibri" w:hAnsi="Calibri" w:cs="Tahoma"/>
          <w:b/>
          <w:sz w:val="28"/>
          <w:szCs w:val="28"/>
          <w:highlight w:val="yellow"/>
        </w:rPr>
        <w:t>La jugadora que infrinja estas directrices, podrá ser retirada del campo.</w:t>
      </w:r>
    </w:p>
    <w:p w:rsidR="00511876" w:rsidRPr="001C7B9B" w:rsidRDefault="00511876">
      <w:pPr>
        <w:rPr>
          <w:sz w:val="28"/>
          <w:szCs w:val="28"/>
        </w:rPr>
      </w:pPr>
    </w:p>
    <w:sectPr w:rsidR="00511876" w:rsidRPr="001C7B9B" w:rsidSect="00511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F59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2911361"/>
    <w:multiLevelType w:val="hybridMultilevel"/>
    <w:tmpl w:val="398629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0D018C"/>
    <w:multiLevelType w:val="singleLevel"/>
    <w:tmpl w:val="308CF1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7B9B"/>
    <w:rsid w:val="00142A30"/>
    <w:rsid w:val="001C7B9B"/>
    <w:rsid w:val="001E4CDA"/>
    <w:rsid w:val="002976D4"/>
    <w:rsid w:val="00511876"/>
    <w:rsid w:val="00677191"/>
    <w:rsid w:val="00AF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B9B"/>
    <w:pPr>
      <w:spacing w:after="0" w:line="240" w:lineRule="auto"/>
    </w:pPr>
    <w:rPr>
      <w:rFonts w:ascii="Garamond" w:eastAsia="Times New Roman" w:hAnsi="Garamond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C7B9B"/>
    <w:pPr>
      <w:spacing w:line="360" w:lineRule="auto"/>
      <w:jc w:val="center"/>
    </w:pPr>
    <w:rPr>
      <w:rFonts w:ascii="Franklin Gothic Demi" w:hAnsi="Franklin Gothic Demi"/>
      <w:sz w:val="28"/>
    </w:rPr>
  </w:style>
  <w:style w:type="character" w:customStyle="1" w:styleId="TextoindependienteCar">
    <w:name w:val="Texto independiente Car"/>
    <w:basedOn w:val="Fuentedeprrafopredeter"/>
    <w:link w:val="Textoindependiente"/>
    <w:rsid w:val="001C7B9B"/>
    <w:rPr>
      <w:rFonts w:ascii="Franklin Gothic Demi" w:eastAsia="Times New Roman" w:hAnsi="Franklin Gothic Demi" w:cs="Times New Roman"/>
      <w:sz w:val="28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7B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7B9B"/>
    <w:rPr>
      <w:rFonts w:ascii="Tahoma" w:eastAsia="Times New Roman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2.xml"/><Relationship Id="rId5" Type="http://schemas.openxmlformats.org/officeDocument/2006/relationships/image" Target="media/image1.wmf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E70C6A-076C-4BB8-8692-5DD5135F31A7}"/>
</file>

<file path=customXml/itemProps2.xml><?xml version="1.0" encoding="utf-8"?>
<ds:datastoreItem xmlns:ds="http://schemas.openxmlformats.org/officeDocument/2006/customXml" ds:itemID="{D4AA6937-30F4-452F-AF18-B6388E89F543}"/>
</file>

<file path=customXml/itemProps3.xml><?xml version="1.0" encoding="utf-8"?>
<ds:datastoreItem xmlns:ds="http://schemas.openxmlformats.org/officeDocument/2006/customXml" ds:itemID="{9F5AED34-C6FA-400B-B630-E96F5FF164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1024</Characters>
  <Application>Microsoft Office Word</Application>
  <DocSecurity>0</DocSecurity>
  <Lines>8</Lines>
  <Paragraphs>2</Paragraphs>
  <ScaleCrop>false</ScaleCrop>
  <Company>Federación Española de Golf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</cp:revision>
  <cp:lastPrinted>2012-04-09T14:19:00Z</cp:lastPrinted>
  <dcterms:created xsi:type="dcterms:W3CDTF">2013-04-01T15:40:00Z</dcterms:created>
  <dcterms:modified xsi:type="dcterms:W3CDTF">2013-04-01T15:40:00Z</dcterms:modified>
</cp:coreProperties>
</file>