
<file path=[Content_Types].xml><?xml version="1.0" encoding="utf-8"?>
<Types xmlns="http://schemas.openxmlformats.org/package/2006/content-types">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51F" w:rsidRDefault="009F04B5" w:rsidP="0072751F">
      <w:pPr>
        <w:pStyle w:val="Ttulo7"/>
        <w:ind w:right="-1"/>
        <w:jc w:val="center"/>
        <w:rPr>
          <w:rFonts w:asciiTheme="minorHAnsi" w:hAnsiTheme="minorHAnsi"/>
          <w:b/>
          <w:color w:val="1F497D" w:themeColor="text2"/>
          <w:sz w:val="32"/>
          <w:szCs w:val="32"/>
        </w:rPr>
      </w:pPr>
      <w:r>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01.75pt;margin-top:-3pt;width:51.45pt;height:45pt;z-index:-251657728;mso-position-horizontal-relative:text;mso-position-vertical-relative:text" fillcolor="window">
            <v:imagedata r:id="rId5" o:title=""/>
          </v:shape>
          <o:OLEObject Type="Embed" ProgID="Word.Picture.8" ShapeID="_x0000_s1026" DrawAspect="Content" ObjectID="_1463317506" r:id="rId6"/>
        </w:pict>
      </w:r>
      <w:r>
        <w:rPr>
          <w:noProof/>
        </w:rPr>
        <w:drawing>
          <wp:anchor distT="0" distB="0" distL="114300" distR="114300" simplePos="0" relativeHeight="251659776" behindDoc="0" locked="0" layoutInCell="1" allowOverlap="1" wp14:anchorId="78566FAC" wp14:editId="27071F88">
            <wp:simplePos x="0" y="0"/>
            <wp:positionH relativeFrom="column">
              <wp:posOffset>292100</wp:posOffset>
            </wp:positionH>
            <wp:positionV relativeFrom="paragraph">
              <wp:posOffset>-92075</wp:posOffset>
            </wp:positionV>
            <wp:extent cx="981075" cy="626448"/>
            <wp:effectExtent l="0" t="0" r="0" b="2540"/>
            <wp:wrapNone/>
            <wp:docPr id="1" name="Imagen 1" descr="\\Serv-rfge-1\l.uhagon\CAMPEONATO NACIONAL DE CADETES 2014\Logo La C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l.uhagon\CAMPEONATO NACIONAL DE CADETES 2014\Logo La Cal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1075" cy="626448"/>
                    </a:xfrm>
                    <a:prstGeom prst="rect">
                      <a:avLst/>
                    </a:prstGeom>
                    <a:noFill/>
                    <a:ln>
                      <a:noFill/>
                    </a:ln>
                  </pic:spPr>
                </pic:pic>
              </a:graphicData>
            </a:graphic>
            <wp14:sizeRelH relativeFrom="page">
              <wp14:pctWidth>0</wp14:pctWidth>
            </wp14:sizeRelH>
            <wp14:sizeRelV relativeFrom="page">
              <wp14:pctHeight>0</wp14:pctHeight>
            </wp14:sizeRelV>
          </wp:anchor>
        </w:drawing>
      </w:r>
      <w:r w:rsidR="009E6818">
        <w:rPr>
          <w:noProof/>
        </w:rPr>
        <w:drawing>
          <wp:anchor distT="0" distB="0" distL="114300" distR="114300" simplePos="0" relativeHeight="251656704" behindDoc="0" locked="0" layoutInCell="1" allowOverlap="1" wp14:anchorId="55D0A2C5" wp14:editId="40013B21">
            <wp:simplePos x="0" y="0"/>
            <wp:positionH relativeFrom="column">
              <wp:posOffset>2852420</wp:posOffset>
            </wp:positionH>
            <wp:positionV relativeFrom="paragraph">
              <wp:posOffset>-89535</wp:posOffset>
            </wp:positionV>
            <wp:extent cx="531495" cy="552450"/>
            <wp:effectExtent l="0" t="0" r="1905" b="0"/>
            <wp:wrapNone/>
            <wp:docPr id="7"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8" cstate="print"/>
                    <a:srcRect/>
                    <a:stretch>
                      <a:fillRect/>
                    </a:stretch>
                  </pic:blipFill>
                  <pic:spPr bwMode="auto">
                    <a:xfrm>
                      <a:off x="0" y="0"/>
                      <a:ext cx="531495" cy="552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2751F" w:rsidRPr="009E6818" w:rsidRDefault="0072751F" w:rsidP="0072751F">
      <w:pPr>
        <w:pStyle w:val="Ttulo7"/>
        <w:ind w:right="-1"/>
        <w:jc w:val="center"/>
        <w:rPr>
          <w:rFonts w:asciiTheme="minorHAnsi" w:hAnsiTheme="minorHAnsi"/>
          <w:b/>
          <w:color w:val="1F497D" w:themeColor="text2"/>
          <w:sz w:val="24"/>
          <w:szCs w:val="24"/>
        </w:rPr>
      </w:pPr>
      <w:r w:rsidRPr="009E6818">
        <w:rPr>
          <w:rFonts w:asciiTheme="minorHAnsi" w:hAnsiTheme="minorHAnsi"/>
          <w:b/>
          <w:color w:val="1F497D" w:themeColor="text2"/>
          <w:sz w:val="24"/>
          <w:szCs w:val="24"/>
        </w:rPr>
        <w:t xml:space="preserve">CAMPEONATO NACIONAL INDIVIDUAL AMATEUR DE ESPAÑA AMATEUR MASCULINO – </w:t>
      </w:r>
      <w:r w:rsidR="009F04B5">
        <w:rPr>
          <w:rFonts w:asciiTheme="minorHAnsi" w:hAnsiTheme="minorHAnsi"/>
          <w:b/>
          <w:color w:val="1F497D" w:themeColor="text2"/>
          <w:sz w:val="24"/>
          <w:szCs w:val="24"/>
        </w:rPr>
        <w:t>4</w:t>
      </w:r>
      <w:r w:rsidRPr="009E6818">
        <w:rPr>
          <w:rFonts w:asciiTheme="minorHAnsi" w:hAnsiTheme="minorHAnsi"/>
          <w:b/>
          <w:color w:val="1F497D" w:themeColor="text2"/>
          <w:sz w:val="24"/>
          <w:szCs w:val="24"/>
        </w:rPr>
        <w:t>ª CATEGORÍA</w:t>
      </w:r>
    </w:p>
    <w:p w:rsidR="009F04B5" w:rsidRPr="009F04B5" w:rsidRDefault="009F04B5" w:rsidP="009F04B5">
      <w:pPr>
        <w:jc w:val="center"/>
        <w:rPr>
          <w:color w:val="1F497D" w:themeColor="text2"/>
          <w:sz w:val="28"/>
          <w:szCs w:val="28"/>
        </w:rPr>
      </w:pPr>
      <w:r w:rsidRPr="009F04B5">
        <w:rPr>
          <w:color w:val="1F497D" w:themeColor="text2"/>
          <w:sz w:val="28"/>
          <w:szCs w:val="28"/>
        </w:rPr>
        <w:t>La Cala Golf.  6 al 8 de junio de 2014</w:t>
      </w:r>
    </w:p>
    <w:p w:rsidR="0072751F" w:rsidRPr="006B7FF5" w:rsidRDefault="0072751F" w:rsidP="009F04B5">
      <w:pPr>
        <w:widowControl w:val="0"/>
        <w:pBdr>
          <w:top w:val="single" w:sz="4" w:space="1" w:color="auto"/>
          <w:left w:val="single" w:sz="4" w:space="4" w:color="auto"/>
          <w:bottom w:val="single" w:sz="4" w:space="1" w:color="auto"/>
          <w:right w:val="single" w:sz="4" w:space="4" w:color="auto"/>
        </w:pBdr>
        <w:shd w:val="clear" w:color="auto" w:fill="EEECE1"/>
        <w:tabs>
          <w:tab w:val="center" w:pos="5386"/>
        </w:tabs>
        <w:jc w:val="center"/>
        <w:rPr>
          <w:rFonts w:ascii="Garamond" w:hAnsi="Garamond"/>
          <w:i/>
          <w:snapToGrid w:val="0"/>
          <w:sz w:val="24"/>
        </w:rPr>
      </w:pPr>
      <w:r>
        <w:rPr>
          <w:rFonts w:ascii="Calibri" w:hAnsi="Calibri"/>
          <w:b/>
          <w:color w:val="1F497D"/>
          <w:sz w:val="32"/>
        </w:rPr>
        <w:t>REGLAMENTO</w:t>
      </w:r>
    </w:p>
    <w:p w:rsidR="009F04B5" w:rsidRPr="009F04B5" w:rsidRDefault="009F04B5" w:rsidP="009F04B5">
      <w:pPr>
        <w:pStyle w:val="Sinespaciado"/>
        <w:jc w:val="both"/>
        <w:rPr>
          <w:b/>
          <w:color w:val="1F497D"/>
          <w:sz w:val="20"/>
          <w:szCs w:val="20"/>
        </w:rPr>
      </w:pPr>
      <w:r w:rsidRPr="009F04B5">
        <w:rPr>
          <w:b/>
          <w:color w:val="1F497D"/>
          <w:sz w:val="20"/>
          <w:szCs w:val="20"/>
        </w:rPr>
        <w:t>Condiciones:</w:t>
      </w:r>
    </w:p>
    <w:p w:rsidR="009F04B5" w:rsidRPr="009F04B5" w:rsidRDefault="009F04B5" w:rsidP="009F04B5">
      <w:pPr>
        <w:pStyle w:val="Sinespaciado"/>
        <w:jc w:val="both"/>
        <w:rPr>
          <w:sz w:val="20"/>
          <w:szCs w:val="20"/>
        </w:rPr>
      </w:pPr>
      <w:r w:rsidRPr="009F04B5">
        <w:rPr>
          <w:sz w:val="20"/>
          <w:szCs w:val="20"/>
        </w:rPr>
        <w:t xml:space="preserve">Podrán tomar parte, con las limitaciones que posteriormente se expresan, todos los aficionados, de sexo masculino, de nacionalidad española, sin perjuicio de lo establecido en la </w:t>
      </w:r>
      <w:r w:rsidRPr="009F04B5">
        <w:rPr>
          <w:rFonts w:cs="Arial"/>
          <w:sz w:val="20"/>
          <w:szCs w:val="20"/>
        </w:rPr>
        <w:t>Disposición Adicional Segunda de Ley 19/2007 de 11 de julio,</w:t>
      </w:r>
      <w:r w:rsidRPr="009F04B5">
        <w:rPr>
          <w:sz w:val="20"/>
          <w:szCs w:val="20"/>
        </w:rPr>
        <w:t xml:space="preserve"> con licencia en vigor expedida por la R.F.E.G. y cuyos hándicaps exactos no sean inferiores a 18,5 al cierre de inscripción y al comienzo de la prueba.</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sz w:val="20"/>
          <w:szCs w:val="20"/>
        </w:rPr>
      </w:pPr>
      <w:r w:rsidRPr="009F04B5">
        <w:rPr>
          <w:sz w:val="20"/>
          <w:szCs w:val="20"/>
        </w:rPr>
        <w:t xml:space="preserve">El número de participantes no podrá exceder de 120 Jugadores que serán los 120 inscritos, correctamente en tiempo y forma, con menor hándicap exacto. En caso de empate en el puesto 120º participará el jugador que se haya inscrito antes a la competición. Si por cualquier causa algún jugador inscrito no pudiera participar, deberá comunicarlo al Comité de la Prueba, Club o Entidad Organizadora antes de las 12:00 </w:t>
      </w:r>
      <w:proofErr w:type="spellStart"/>
      <w:r w:rsidRPr="009F04B5">
        <w:rPr>
          <w:sz w:val="20"/>
          <w:szCs w:val="20"/>
        </w:rPr>
        <w:t>hrs</w:t>
      </w:r>
      <w:proofErr w:type="spellEnd"/>
      <w:r w:rsidRPr="009F04B5">
        <w:rPr>
          <w:sz w:val="20"/>
          <w:szCs w:val="20"/>
        </w:rPr>
        <w:t>. de la antevíspera del inicio del Campeonato. Según lo establecido en Junta Directiva de la Real Federación Española de Golf, en todas las prueba</w:t>
      </w:r>
      <w:bookmarkStart w:id="0" w:name="_GoBack"/>
      <w:bookmarkEnd w:id="0"/>
      <w:r w:rsidRPr="009F04B5">
        <w:rPr>
          <w:sz w:val="20"/>
          <w:szCs w:val="20"/>
        </w:rPr>
        <w:t xml:space="preserve">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i/>
          <w:sz w:val="20"/>
          <w:szCs w:val="20"/>
        </w:rPr>
      </w:pPr>
      <w:r w:rsidRPr="009F04B5">
        <w:rPr>
          <w:i/>
          <w:sz w:val="20"/>
          <w:szCs w:val="20"/>
        </w:rPr>
        <w:t xml:space="preserve">Si alguno de los jugadores inscritos hubiera sufrido una bajada o subida de handicap por apreciación en los últimos tres meses, esta no será tenida en cuenta y se admitirá o rechazará su inscripción en base al handicap que tendría sin tener en cuenta la referida bajada o subida por apreciación. En caso de bajada, esto no tendrá validez si el jugador cumple, al menos una vez, este nuevo handicap. </w:t>
      </w:r>
    </w:p>
    <w:p w:rsidR="009F04B5" w:rsidRPr="009F04B5" w:rsidRDefault="009F04B5" w:rsidP="009F04B5">
      <w:pPr>
        <w:pStyle w:val="Sinespaciado"/>
        <w:jc w:val="both"/>
        <w:rPr>
          <w:i/>
          <w:sz w:val="20"/>
          <w:szCs w:val="20"/>
        </w:rPr>
      </w:pPr>
    </w:p>
    <w:p w:rsidR="009F04B5" w:rsidRPr="009F04B5" w:rsidRDefault="009F04B5" w:rsidP="009F04B5">
      <w:pPr>
        <w:pStyle w:val="Sinespaciado"/>
        <w:jc w:val="both"/>
        <w:rPr>
          <w:sz w:val="20"/>
          <w:szCs w:val="20"/>
        </w:rPr>
      </w:pPr>
      <w:r w:rsidRPr="009F04B5">
        <w:rPr>
          <w:sz w:val="20"/>
          <w:szCs w:val="20"/>
        </w:rPr>
        <w:t xml:space="preserve">El Comité de la Prueba se reserva 3 invitaciones que se destinarán, principalmente, a jugadores del Club </w:t>
      </w:r>
      <w:proofErr w:type="spellStart"/>
      <w:r w:rsidRPr="009F04B5">
        <w:rPr>
          <w:sz w:val="20"/>
          <w:szCs w:val="20"/>
        </w:rPr>
        <w:t>ó</w:t>
      </w:r>
      <w:proofErr w:type="spellEnd"/>
      <w:r w:rsidRPr="009F04B5">
        <w:rPr>
          <w:sz w:val="20"/>
          <w:szCs w:val="20"/>
        </w:rPr>
        <w:t xml:space="preserve"> Entidad Organizadora. Si estos tuvieran un hándicap exacto superior al de los admitidos en los 120, incrementarán la cifra total de admitidos con el fin de no quitar plaza a ninguno del resto de inscritos.</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sz w:val="20"/>
          <w:szCs w:val="20"/>
        </w:rPr>
      </w:pPr>
      <w:r w:rsidRPr="009F04B5">
        <w:rPr>
          <w:sz w:val="20"/>
          <w:szCs w:val="20"/>
        </w:rPr>
        <w:t>En cada campo se disputará, únicamente, la categoría anunciada. Es decir, que si entre los 120 Jugadores de hándicap más bajo existiera alguno o algunos de categoría superior, podrán optar únicamente a ganar la categoría en juego, no estableciéndose, bajo ningún concepto, una clasificación de categoría superior.</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b/>
          <w:color w:val="1F497D"/>
          <w:sz w:val="20"/>
          <w:szCs w:val="20"/>
        </w:rPr>
      </w:pPr>
      <w:r w:rsidRPr="009F04B5">
        <w:rPr>
          <w:b/>
          <w:color w:val="1F497D"/>
          <w:sz w:val="20"/>
          <w:szCs w:val="20"/>
        </w:rPr>
        <w:t>Forma de Juego:</w:t>
      </w:r>
    </w:p>
    <w:p w:rsidR="009F04B5" w:rsidRPr="009F04B5" w:rsidRDefault="009F04B5" w:rsidP="009F04B5">
      <w:pPr>
        <w:pStyle w:val="Sinespaciado"/>
        <w:jc w:val="both"/>
        <w:rPr>
          <w:sz w:val="20"/>
          <w:szCs w:val="20"/>
        </w:rPr>
      </w:pPr>
      <w:r w:rsidRPr="009F04B5">
        <w:rPr>
          <w:sz w:val="20"/>
          <w:szCs w:val="20"/>
        </w:rPr>
        <w:t xml:space="preserve">Se jugará a </w:t>
      </w:r>
      <w:proofErr w:type="spellStart"/>
      <w:r w:rsidRPr="009F04B5">
        <w:rPr>
          <w:sz w:val="20"/>
          <w:szCs w:val="20"/>
        </w:rPr>
        <w:t>Stroke</w:t>
      </w:r>
      <w:proofErr w:type="spellEnd"/>
      <w:r w:rsidRPr="009F04B5">
        <w:rPr>
          <w:sz w:val="20"/>
          <w:szCs w:val="20"/>
        </w:rPr>
        <w:t xml:space="preserve"> Play </w:t>
      </w:r>
      <w:proofErr w:type="spellStart"/>
      <w:r w:rsidRPr="009F04B5">
        <w:rPr>
          <w:sz w:val="20"/>
          <w:szCs w:val="20"/>
        </w:rPr>
        <w:t>Scratch</w:t>
      </w:r>
      <w:proofErr w:type="spellEnd"/>
      <w:r w:rsidRPr="009F04B5">
        <w:rPr>
          <w:sz w:val="20"/>
          <w:szCs w:val="20"/>
        </w:rPr>
        <w:t>, 54 hoyos, en tres días consecutivos.</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sz w:val="20"/>
          <w:szCs w:val="20"/>
        </w:rPr>
      </w:pPr>
      <w:r w:rsidRPr="009F04B5">
        <w:rPr>
          <w:sz w:val="20"/>
          <w:szCs w:val="20"/>
        </w:rPr>
        <w:t>Los 18 hoyos del tercer día los jugarán únicamente los 60 primeros clasificados y los empatados en ese puesto.</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sz w:val="20"/>
          <w:szCs w:val="20"/>
        </w:rPr>
      </w:pPr>
      <w:r w:rsidRPr="009F04B5">
        <w:rPr>
          <w:sz w:val="20"/>
          <w:szCs w:val="20"/>
        </w:rPr>
        <w:t>El Comité de la Prueba se reserva el derecho de anular la prueba o modificar la fórmula, si existen causas que así lo aconsejen.</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sz w:val="20"/>
          <w:szCs w:val="20"/>
        </w:rPr>
      </w:pPr>
      <w:r w:rsidRPr="009F04B5">
        <w:rPr>
          <w:sz w:val="20"/>
          <w:szCs w:val="20"/>
        </w:rPr>
        <w:t>En caso de empate para el puesto de Campeón de España de 4ª categoría, se resolverá jugando los competidores empatados, hoyo por hoyo, los precisos, hasta deshacer el empate. El Comité de la Prueba podrá establecer el orden de los hoyos a jugar. Caso de no hacerlo, se entenderá que el orden es el normal de la vuelta estipulada.</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rFonts w:cs="Arial"/>
          <w:sz w:val="20"/>
          <w:szCs w:val="20"/>
        </w:rPr>
      </w:pPr>
      <w:r w:rsidRPr="009F04B5">
        <w:rPr>
          <w:sz w:val="20"/>
          <w:szCs w:val="20"/>
        </w:rPr>
        <w:t xml:space="preserve">En caso de empate para el puesto de Subcampeón, los Jugadores empatados se clasificarán ex-aequo. </w:t>
      </w:r>
      <w:r w:rsidRPr="009F04B5">
        <w:rPr>
          <w:rFonts w:cs="Arial"/>
          <w:sz w:val="20"/>
          <w:szCs w:val="20"/>
        </w:rPr>
        <w:t xml:space="preserve">El trofeo de subcampeón se lo llevará el jugador de handicap de juego más alto, de acuerdo al Libro Verde de la Real Federación Española de Golf para pruebas </w:t>
      </w:r>
      <w:proofErr w:type="spellStart"/>
      <w:r w:rsidRPr="009F04B5">
        <w:rPr>
          <w:rFonts w:cs="Arial"/>
          <w:sz w:val="20"/>
          <w:szCs w:val="20"/>
        </w:rPr>
        <w:t>scratch</w:t>
      </w:r>
      <w:proofErr w:type="spellEnd"/>
      <w:r w:rsidRPr="009F04B5">
        <w:rPr>
          <w:rFonts w:cs="Arial"/>
          <w:sz w:val="20"/>
          <w:szCs w:val="20"/>
        </w:rPr>
        <w:t>.</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b/>
          <w:color w:val="1F497D"/>
          <w:sz w:val="20"/>
          <w:szCs w:val="20"/>
        </w:rPr>
      </w:pPr>
      <w:r w:rsidRPr="009F04B5">
        <w:rPr>
          <w:b/>
          <w:color w:val="1F497D"/>
          <w:sz w:val="20"/>
          <w:szCs w:val="20"/>
        </w:rPr>
        <w:t>Inscripciones:</w:t>
      </w:r>
    </w:p>
    <w:p w:rsidR="009F04B5" w:rsidRPr="009F04B5" w:rsidRDefault="009F04B5" w:rsidP="009F04B5">
      <w:pPr>
        <w:pStyle w:val="Sinespaciado"/>
        <w:jc w:val="both"/>
        <w:rPr>
          <w:sz w:val="20"/>
          <w:szCs w:val="20"/>
        </w:rPr>
      </w:pPr>
      <w:r w:rsidRPr="009F04B5">
        <w:rPr>
          <w:rFonts w:cs="Tahoma"/>
          <w:snapToGrid w:val="0"/>
          <w:sz w:val="20"/>
          <w:szCs w:val="20"/>
          <w:lang w:val="es-ES_tradnl"/>
        </w:rPr>
        <w:t xml:space="preserve">El plazo de inscripción se cerrará en la fecha que se establezca en la circular correspondiente y </w:t>
      </w:r>
      <w:r w:rsidRPr="009F04B5">
        <w:rPr>
          <w:sz w:val="20"/>
          <w:szCs w:val="20"/>
        </w:rPr>
        <w:t xml:space="preserve">deberá efectuarse online a través de la web </w:t>
      </w:r>
      <w:hyperlink r:id="rId9" w:history="1">
        <w:r w:rsidRPr="009F04B5">
          <w:rPr>
            <w:rStyle w:val="Hipervnculo"/>
            <w:rFonts w:ascii="Calibri" w:hAnsi="Calibri"/>
            <w:sz w:val="20"/>
            <w:szCs w:val="20"/>
          </w:rPr>
          <w:t>www.rfegolf.es</w:t>
        </w:r>
      </w:hyperlink>
      <w:r w:rsidRPr="009F04B5">
        <w:rPr>
          <w:sz w:val="20"/>
          <w:szCs w:val="20"/>
        </w:rPr>
        <w:t>.</w:t>
      </w:r>
      <w:r w:rsidRPr="009F04B5">
        <w:rPr>
          <w:rFonts w:cs="Tahoma"/>
          <w:snapToGrid w:val="0"/>
          <w:sz w:val="20"/>
          <w:szCs w:val="20"/>
          <w:lang w:val="es-ES_tradnl"/>
        </w:rPr>
        <w:t xml:space="preserve"> Los derechos de inscripción se abonarán en el club organizador antes del inicio del campeonato. La cuota de inscripción será fijada cada año por la R.F.E.G.</w:t>
      </w:r>
    </w:p>
    <w:p w:rsidR="009F04B5" w:rsidRPr="009F04B5" w:rsidRDefault="009F04B5" w:rsidP="009F04B5">
      <w:pPr>
        <w:pStyle w:val="Sinespaciado"/>
        <w:jc w:val="both"/>
        <w:rPr>
          <w:sz w:val="20"/>
          <w:szCs w:val="20"/>
          <w:lang w:val="es-ES_tradnl"/>
        </w:rPr>
      </w:pPr>
    </w:p>
    <w:p w:rsidR="009F04B5" w:rsidRPr="009F04B5" w:rsidRDefault="009F04B5" w:rsidP="009F04B5">
      <w:pPr>
        <w:pStyle w:val="Sinespaciado"/>
        <w:jc w:val="both"/>
        <w:rPr>
          <w:b/>
          <w:color w:val="1F497D"/>
          <w:sz w:val="20"/>
          <w:szCs w:val="20"/>
        </w:rPr>
      </w:pPr>
      <w:r w:rsidRPr="009F04B5">
        <w:rPr>
          <w:b/>
          <w:color w:val="1F497D"/>
          <w:sz w:val="20"/>
          <w:szCs w:val="20"/>
        </w:rPr>
        <w:t>Premios:</w:t>
      </w:r>
    </w:p>
    <w:p w:rsidR="009F04B5" w:rsidRPr="009F04B5" w:rsidRDefault="009F04B5" w:rsidP="009F04B5">
      <w:pPr>
        <w:pStyle w:val="Sinespaciado"/>
        <w:jc w:val="both"/>
        <w:rPr>
          <w:sz w:val="20"/>
          <w:szCs w:val="20"/>
        </w:rPr>
      </w:pPr>
      <w:r w:rsidRPr="009F04B5">
        <w:rPr>
          <w:sz w:val="20"/>
          <w:szCs w:val="20"/>
        </w:rPr>
        <w:t>El Campeón y el Subcampeón de España de 4ª categoría recibirán sendos trofeos donados por la R.F.E.G. Estos trofeos se entregarán exclusivamente a los jugadores de nacionalidad española.</w:t>
      </w:r>
    </w:p>
    <w:p w:rsidR="009F04B5" w:rsidRPr="009F04B5" w:rsidRDefault="009F04B5" w:rsidP="009F04B5">
      <w:pPr>
        <w:pStyle w:val="Sinespaciado"/>
        <w:jc w:val="both"/>
        <w:rPr>
          <w:sz w:val="20"/>
          <w:szCs w:val="20"/>
        </w:rPr>
      </w:pPr>
    </w:p>
    <w:p w:rsidR="009F04B5" w:rsidRPr="009F04B5" w:rsidRDefault="009F04B5" w:rsidP="009F04B5">
      <w:pPr>
        <w:pStyle w:val="Sinespaciado"/>
        <w:jc w:val="both"/>
        <w:rPr>
          <w:sz w:val="20"/>
          <w:szCs w:val="20"/>
        </w:rPr>
      </w:pPr>
      <w:r w:rsidRPr="009F04B5">
        <w:rPr>
          <w:sz w:val="20"/>
          <w:szCs w:val="20"/>
          <w:u w:val="single"/>
        </w:rPr>
        <w:t>Trofeos para jugadores de nacionalidad no española:</w:t>
      </w:r>
      <w:r w:rsidRPr="009F04B5">
        <w:rPr>
          <w:sz w:val="20"/>
          <w:szCs w:val="20"/>
        </w:rPr>
        <w:t xml:space="preserve"> En caso de obtener la 1ª posición en la clasificación general, al jugador se le hará entrega de un trofeo acreditativo.</w:t>
      </w:r>
    </w:p>
    <w:p w:rsidR="009F04B5" w:rsidRPr="009F04B5" w:rsidRDefault="009F04B5" w:rsidP="009F04B5">
      <w:pPr>
        <w:pStyle w:val="Sinespaciado"/>
        <w:jc w:val="both"/>
        <w:rPr>
          <w:color w:val="1F497D"/>
          <w:sz w:val="20"/>
          <w:szCs w:val="20"/>
        </w:rPr>
      </w:pPr>
    </w:p>
    <w:p w:rsidR="009F04B5" w:rsidRPr="009F04B5" w:rsidRDefault="009F04B5" w:rsidP="009F04B5">
      <w:pPr>
        <w:pStyle w:val="Sinespaciado"/>
        <w:jc w:val="both"/>
        <w:rPr>
          <w:b/>
          <w:color w:val="1F497D"/>
          <w:sz w:val="20"/>
          <w:szCs w:val="20"/>
        </w:rPr>
      </w:pPr>
      <w:r w:rsidRPr="009F04B5">
        <w:rPr>
          <w:b/>
          <w:color w:val="1F497D"/>
          <w:sz w:val="20"/>
          <w:szCs w:val="20"/>
        </w:rPr>
        <w:t>Comité de la Prueba:</w:t>
      </w:r>
    </w:p>
    <w:p w:rsidR="009F04B5" w:rsidRPr="009F04B5" w:rsidRDefault="009F04B5" w:rsidP="009F04B5">
      <w:pPr>
        <w:pStyle w:val="Sinespaciado"/>
        <w:jc w:val="both"/>
        <w:rPr>
          <w:sz w:val="20"/>
          <w:szCs w:val="20"/>
        </w:rPr>
      </w:pPr>
      <w:r w:rsidRPr="009F04B5">
        <w:rPr>
          <w:sz w:val="20"/>
          <w:szCs w:val="20"/>
        </w:rPr>
        <w:t>La Real Federación Española de Golf designará el Comité de la Prueba y los Jueces Árbitros que estimen necesarios.</w:t>
      </w:r>
    </w:p>
    <w:p w:rsidR="009F04B5" w:rsidRPr="009F04B5" w:rsidRDefault="009F04B5" w:rsidP="009F04B5">
      <w:pPr>
        <w:pStyle w:val="Sinespaciado"/>
        <w:jc w:val="both"/>
        <w:rPr>
          <w:sz w:val="20"/>
          <w:szCs w:val="20"/>
        </w:rPr>
      </w:pPr>
      <w:r w:rsidRPr="009F04B5">
        <w:rPr>
          <w:sz w:val="20"/>
          <w:szCs w:val="20"/>
        </w:rPr>
        <w:t>El Comité de la Prueba decidirá en todo lo que afecte a la organización del Campeonato y a la interpretación del presente Reglamento, y tendrá todas las facultades que le concedan las Reglas de Golf en vigor.</w:t>
      </w:r>
    </w:p>
    <w:sectPr w:rsidR="009F04B5" w:rsidRPr="009F04B5" w:rsidSect="009F04B5">
      <w:pgSz w:w="11906" w:h="16838"/>
      <w:pgMar w:top="426" w:right="282"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rus BT">
    <w:altName w:val="Arial Unicode MS"/>
    <w:charset w:val="00"/>
    <w:family w:val="roman"/>
    <w:pitch w:val="variable"/>
    <w:sig w:usb0="00000000" w:usb1="090E0000" w:usb2="00000010" w:usb3="00000000" w:csb0="001D00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51F"/>
    <w:rsid w:val="00450101"/>
    <w:rsid w:val="0072751F"/>
    <w:rsid w:val="00854CE4"/>
    <w:rsid w:val="009E6818"/>
    <w:rsid w:val="009F04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51F"/>
    <w:rPr>
      <w:rFonts w:eastAsiaTheme="minorEastAsia"/>
      <w:lang w:eastAsia="es-ES"/>
    </w:rPr>
  </w:style>
  <w:style w:type="paragraph" w:styleId="Ttulo7">
    <w:name w:val="heading 7"/>
    <w:basedOn w:val="Normal"/>
    <w:next w:val="Normal"/>
    <w:link w:val="Ttulo7Car"/>
    <w:uiPriority w:val="9"/>
    <w:semiHidden/>
    <w:unhideWhenUsed/>
    <w:qFormat/>
    <w:rsid w:val="0072751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uiPriority w:val="9"/>
    <w:semiHidden/>
    <w:rsid w:val="0072751F"/>
    <w:rPr>
      <w:rFonts w:asciiTheme="majorHAnsi" w:eastAsiaTheme="majorEastAsia" w:hAnsiTheme="majorHAnsi" w:cstheme="majorBidi"/>
      <w:i/>
      <w:iCs/>
      <w:color w:val="404040" w:themeColor="text1" w:themeTint="BF"/>
      <w:lang w:eastAsia="es-ES"/>
    </w:rPr>
  </w:style>
  <w:style w:type="character" w:styleId="Hipervnculo">
    <w:name w:val="Hyperlink"/>
    <w:rsid w:val="009E6818"/>
    <w:rPr>
      <w:color w:val="0000FF"/>
      <w:u w:val="single"/>
    </w:rPr>
  </w:style>
  <w:style w:type="paragraph" w:styleId="Sinespaciado">
    <w:name w:val="No Spacing"/>
    <w:uiPriority w:val="1"/>
    <w:qFormat/>
    <w:rsid w:val="009E6818"/>
    <w:pPr>
      <w:spacing w:after="0" w:line="240" w:lineRule="auto"/>
    </w:pPr>
    <w:rPr>
      <w:rFonts w:eastAsiaTheme="minorEastAsia"/>
      <w:lang w:eastAsia="es-ES"/>
    </w:rPr>
  </w:style>
  <w:style w:type="paragraph" w:styleId="Textodeglobo">
    <w:name w:val="Balloon Text"/>
    <w:basedOn w:val="Normal"/>
    <w:link w:val="TextodegloboCar"/>
    <w:uiPriority w:val="99"/>
    <w:semiHidden/>
    <w:unhideWhenUsed/>
    <w:rsid w:val="009F04B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04B5"/>
    <w:rPr>
      <w:rFonts w:ascii="Tahoma" w:eastAsiaTheme="minorEastAsia" w:hAnsi="Tahoma" w:cs="Tahoma"/>
      <w:sz w:val="16"/>
      <w:szCs w:val="16"/>
      <w:lang w:eastAsia="es-ES"/>
    </w:rPr>
  </w:style>
  <w:style w:type="paragraph" w:styleId="Piedepgina">
    <w:name w:val="footer"/>
    <w:basedOn w:val="Normal"/>
    <w:link w:val="PiedepginaCar"/>
    <w:uiPriority w:val="99"/>
    <w:rsid w:val="009F04B5"/>
    <w:pPr>
      <w:tabs>
        <w:tab w:val="center" w:pos="4252"/>
        <w:tab w:val="right" w:pos="8504"/>
      </w:tabs>
      <w:spacing w:after="0" w:line="240" w:lineRule="auto"/>
    </w:pPr>
    <w:rPr>
      <w:rFonts w:ascii="Tahoma" w:eastAsia="Times New Roman" w:hAnsi="Tahoma" w:cs="Times New Roman"/>
    </w:rPr>
  </w:style>
  <w:style w:type="character" w:customStyle="1" w:styleId="PiedepginaCar">
    <w:name w:val="Pie de página Car"/>
    <w:basedOn w:val="Fuentedeprrafopredeter"/>
    <w:link w:val="Piedepgina"/>
    <w:uiPriority w:val="99"/>
    <w:rsid w:val="009F04B5"/>
    <w:rPr>
      <w:rFonts w:ascii="Tahoma" w:eastAsia="Times New Roman" w:hAnsi="Tahoma" w:cs="Times New Roman"/>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51F"/>
    <w:rPr>
      <w:rFonts w:eastAsiaTheme="minorEastAsia"/>
      <w:lang w:eastAsia="es-ES"/>
    </w:rPr>
  </w:style>
  <w:style w:type="paragraph" w:styleId="Ttulo7">
    <w:name w:val="heading 7"/>
    <w:basedOn w:val="Normal"/>
    <w:next w:val="Normal"/>
    <w:link w:val="Ttulo7Car"/>
    <w:uiPriority w:val="9"/>
    <w:semiHidden/>
    <w:unhideWhenUsed/>
    <w:qFormat/>
    <w:rsid w:val="0072751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uiPriority w:val="9"/>
    <w:semiHidden/>
    <w:rsid w:val="0072751F"/>
    <w:rPr>
      <w:rFonts w:asciiTheme="majorHAnsi" w:eastAsiaTheme="majorEastAsia" w:hAnsiTheme="majorHAnsi" w:cstheme="majorBidi"/>
      <w:i/>
      <w:iCs/>
      <w:color w:val="404040" w:themeColor="text1" w:themeTint="BF"/>
      <w:lang w:eastAsia="es-ES"/>
    </w:rPr>
  </w:style>
  <w:style w:type="character" w:styleId="Hipervnculo">
    <w:name w:val="Hyperlink"/>
    <w:rsid w:val="009E6818"/>
    <w:rPr>
      <w:color w:val="0000FF"/>
      <w:u w:val="single"/>
    </w:rPr>
  </w:style>
  <w:style w:type="paragraph" w:styleId="Sinespaciado">
    <w:name w:val="No Spacing"/>
    <w:uiPriority w:val="1"/>
    <w:qFormat/>
    <w:rsid w:val="009E6818"/>
    <w:pPr>
      <w:spacing w:after="0" w:line="240" w:lineRule="auto"/>
    </w:pPr>
    <w:rPr>
      <w:rFonts w:eastAsiaTheme="minorEastAsia"/>
      <w:lang w:eastAsia="es-ES"/>
    </w:rPr>
  </w:style>
  <w:style w:type="paragraph" w:styleId="Textodeglobo">
    <w:name w:val="Balloon Text"/>
    <w:basedOn w:val="Normal"/>
    <w:link w:val="TextodegloboCar"/>
    <w:uiPriority w:val="99"/>
    <w:semiHidden/>
    <w:unhideWhenUsed/>
    <w:rsid w:val="009F04B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04B5"/>
    <w:rPr>
      <w:rFonts w:ascii="Tahoma" w:eastAsiaTheme="minorEastAsia" w:hAnsi="Tahoma" w:cs="Tahoma"/>
      <w:sz w:val="16"/>
      <w:szCs w:val="16"/>
      <w:lang w:eastAsia="es-ES"/>
    </w:rPr>
  </w:style>
  <w:style w:type="paragraph" w:styleId="Piedepgina">
    <w:name w:val="footer"/>
    <w:basedOn w:val="Normal"/>
    <w:link w:val="PiedepginaCar"/>
    <w:uiPriority w:val="99"/>
    <w:rsid w:val="009F04B5"/>
    <w:pPr>
      <w:tabs>
        <w:tab w:val="center" w:pos="4252"/>
        <w:tab w:val="right" w:pos="8504"/>
      </w:tabs>
      <w:spacing w:after="0" w:line="240" w:lineRule="auto"/>
    </w:pPr>
    <w:rPr>
      <w:rFonts w:ascii="Tahoma" w:eastAsia="Times New Roman" w:hAnsi="Tahoma" w:cs="Times New Roman"/>
    </w:rPr>
  </w:style>
  <w:style w:type="character" w:customStyle="1" w:styleId="PiedepginaCar">
    <w:name w:val="Pie de página Car"/>
    <w:basedOn w:val="Fuentedeprrafopredeter"/>
    <w:link w:val="Piedepgina"/>
    <w:uiPriority w:val="99"/>
    <w:rsid w:val="009F04B5"/>
    <w:rPr>
      <w:rFonts w:ascii="Tahoma" w:eastAsia="Times New Roman" w:hAnsi="Tahoma"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fegolf.es/" TargetMode="Externa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F8F1213-9601-4835-98EC-FBD402F014F8}"/>
</file>

<file path=customXml/itemProps2.xml><?xml version="1.0" encoding="utf-8"?>
<ds:datastoreItem xmlns:ds="http://schemas.openxmlformats.org/officeDocument/2006/customXml" ds:itemID="{A65AC9B8-9206-4D0D-905B-6BD95AE2B5C7}"/>
</file>

<file path=customXml/itemProps3.xml><?xml version="1.0" encoding="utf-8"?>
<ds:datastoreItem xmlns:ds="http://schemas.openxmlformats.org/officeDocument/2006/customXml" ds:itemID="{A6CD6BFC-1475-4493-8096-D045971A1DE2}"/>
</file>

<file path=docProps/app.xml><?xml version="1.0" encoding="utf-8"?>
<Properties xmlns="http://schemas.openxmlformats.org/officeDocument/2006/extended-properties" xmlns:vt="http://schemas.openxmlformats.org/officeDocument/2006/docPropsVTypes">
  <Template>Normal</Template>
  <TotalTime>1</TotalTime>
  <Pages>1</Pages>
  <Words>694</Words>
  <Characters>3819</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2</cp:revision>
  <cp:lastPrinted>2014-05-28T09:58:00Z</cp:lastPrinted>
  <dcterms:created xsi:type="dcterms:W3CDTF">2014-06-03T14:19:00Z</dcterms:created>
  <dcterms:modified xsi:type="dcterms:W3CDTF">2014-06-03T14:19:00Z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