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8FD" w:rsidRPr="0080128F" w:rsidRDefault="007938FD">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7938FD" w:rsidRDefault="007938FD">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504DC9" w:rsidRDefault="007938FD"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7938FD" w:rsidRPr="0026568A" w:rsidRDefault="007938FD" w:rsidP="00BA7D3A">
            <w:pPr>
              <w:pStyle w:val="Ttulo2"/>
              <w:jc w:val="left"/>
              <w:rPr>
                <w:rFonts w:ascii="Calibri" w:hAnsi="Calibri"/>
                <w:bCs/>
                <w:color w:val="002060"/>
                <w:sz w:val="24"/>
                <w:lang w:val="es-ES_tradnl"/>
              </w:rPr>
            </w:pPr>
            <w:r>
              <w:rPr>
                <w:rFonts w:ascii="Calibri" w:hAnsi="Calibri"/>
                <w:bCs/>
                <w:color w:val="002060"/>
                <w:sz w:val="24"/>
                <w:lang w:val="es-ES_tradnl"/>
              </w:rPr>
              <w:t>Txomin Hospital</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7938FD" w:rsidRPr="00165381" w:rsidRDefault="007938FD"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Cto Cdad de Valencia</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7938FD" w:rsidRPr="00D44871" w:rsidRDefault="007938FD" w:rsidP="006D0FC5">
            <w:pPr>
              <w:rPr>
                <w:rFonts w:ascii="Calibri" w:hAnsi="Calibri"/>
                <w:b/>
                <w:bCs/>
                <w:color w:val="002060"/>
                <w:lang w:val="es-ES_tradnl"/>
              </w:rPr>
            </w:pPr>
            <w:r w:rsidRPr="00D44871">
              <w:rPr>
                <w:rFonts w:ascii="Calibri" w:hAnsi="Calibri"/>
                <w:b/>
                <w:bCs/>
                <w:color w:val="002060"/>
                <w:lang w:val="es-ES_tradnl"/>
              </w:rPr>
              <w:t>15-17 Mayo 2015</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7938FD" w:rsidRPr="00D44871" w:rsidRDefault="007938FD" w:rsidP="002A171E">
            <w:pPr>
              <w:rPr>
                <w:rFonts w:ascii="Calibri" w:hAnsi="Calibri"/>
                <w:b/>
                <w:bCs/>
                <w:color w:val="002060"/>
                <w:lang w:val="es-ES_tradnl"/>
              </w:rPr>
            </w:pPr>
            <w:r>
              <w:rPr>
                <w:rFonts w:ascii="Calibri" w:hAnsi="Calibri"/>
                <w:b/>
                <w:bCs/>
                <w:color w:val="002060"/>
                <w:lang w:val="es-ES_tradnl"/>
              </w:rPr>
              <w:t>18. Mayo. 2015</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Default="007938FD">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7938FD" w:rsidRDefault="007938FD">
            <w:pPr>
              <w:rPr>
                <w:rFonts w:ascii="Calibri" w:hAnsi="Calibri"/>
                <w:b/>
                <w:bCs/>
                <w:color w:val="002060"/>
                <w:lang w:val="es-ES_tradnl"/>
              </w:rPr>
            </w:pPr>
          </w:p>
          <w:p w:rsidR="007938FD" w:rsidRDefault="007938FD">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7938FD" w:rsidRPr="00D44871" w:rsidRDefault="007938FD" w:rsidP="006D0FC5">
            <w:pPr>
              <w:rPr>
                <w:rFonts w:ascii="Calibri" w:hAnsi="Calibri"/>
                <w:b/>
                <w:bCs/>
                <w:color w:val="002060"/>
                <w:lang w:val="es-ES_tradnl"/>
              </w:rPr>
            </w:pPr>
            <w:r w:rsidRPr="00D44871">
              <w:rPr>
                <w:rFonts w:ascii="Calibri" w:hAnsi="Calibri"/>
                <w:b/>
                <w:bCs/>
                <w:color w:val="002060"/>
                <w:lang w:val="es-ES_tradnl"/>
              </w:rPr>
              <w:t>Campo en muy buenas condiciones  de hierba, greenes muy buenos, velocidad sobre 9, el viento los fue endureciendo. Viento fuerte primer dia por la tarde y segundo mañana.</w:t>
            </w:r>
          </w:p>
        </w:tc>
      </w:tr>
    </w:tbl>
    <w:p w:rsidR="007938FD" w:rsidRDefault="007938FD">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7938FD">
        <w:tc>
          <w:tcPr>
            <w:tcW w:w="9778" w:type="dxa"/>
            <w:shd w:val="clear" w:color="auto" w:fill="1F497D"/>
          </w:tcPr>
          <w:p w:rsidR="007938FD" w:rsidRPr="003B3B8A" w:rsidRDefault="007938FD"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7938FD" w:rsidRDefault="007938FD" w:rsidP="00E9519B">
      <w:pPr>
        <w:rPr>
          <w:rFonts w:ascii="Calibri" w:hAnsi="Calibri"/>
          <w:color w:val="002060"/>
          <w:u w:val="single"/>
          <w:lang w:val="es-ES_tradnl"/>
        </w:rPr>
      </w:pPr>
    </w:p>
    <w:p w:rsidR="007938FD" w:rsidRDefault="007938FD" w:rsidP="00E9519B">
      <w:pPr>
        <w:rPr>
          <w:rFonts w:ascii="Calibri" w:hAnsi="Calibri"/>
          <w:color w:val="002060"/>
          <w:u w:val="single"/>
          <w:lang w:val="es-ES_tradnl"/>
        </w:rPr>
      </w:pPr>
    </w:p>
    <w:p w:rsidR="007938FD" w:rsidRDefault="007938FD" w:rsidP="00291901">
      <w:pPr>
        <w:jc w:val="both"/>
        <w:rPr>
          <w:rFonts w:ascii="Calibri" w:hAnsi="Calibri"/>
          <w:color w:val="002060"/>
          <w:u w:val="single"/>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Referente al campo y a su diseño, así como a la estrategia que pueda albergar, se ha de destacar que no tiene prácticamente nada, desde el tee tiene mas premio la distancia que la puntería, obviamente mejor estar en la calle que no, pero no tiene absolutamente ningún castigo. Bolas que no deberían estar fuera de límites sino mas bien fuera de fronteras  tenían poco castigo y algunas veces ningún castigo. Los tiros a green tampoco tenían mucho y los greenes son grandes, los bunkers por lo general bastante alejados de los bordes de green, entre 5 y 8 metros.</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La presencia del viento ha mejorado notablemente la calidad del campeonato, ya que muchos golpes desde el tee los tuvieron con viento cruzado de la izquierda que se hacen bastante incómodos. El viento fue especialmente fuerte el primer dia por la tarde, llegando a suspenderse y el segundo día por la mañana, que se tuvo que esperar para reanudar también por fuerte viento.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Los jugadores que salieron el primer día por la tarde tuvieron condiciones mucho mas complicadas, hasta el punto que del draw de la tarde pasaron el corte 3 jugadores y del de la mañana 50. Se dio la curiosidad que los 3 jugadores que jugaron muy bien con el viento fuerte, no jugaron bien los 36 ultimos con muy poco viento.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VICTOR PASTOR. Jugó muy ordenado, razonablemente recto desde el tee y no muy preciso con los tiros a green, cogía greens pero no se dejaba opciones de birdie claras con golpes de menos  de 100m, juego corto y putt bien. Lo mas de destacar en este torneo de Victor ha sido la mala gestión de una ventaja de 6 golpes con 8 hoyos por jugar, en el hoyo 11 par 5 con agua a la izquierda y corto de green tiro dos bolas l agua de segundo golpe perdiendo 4 golpes en un hoyo. Es cierto que tenía mucha ventaja y que esto relaja, añadido al posible cansancio que pudo notar tras 28 hoyos. Su preparación física puede haberle hecho una mala pasada y acabó haciendo 42 en los 9 segundos para no ganar.  Importante ha sido el haber jugado 36 hoyos en una jornada.</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 xml:space="preserve">VICTOR GARCIA BROTO. Victor es cierto que este año, como ya se ha comentado en algún informe anterior, está pegando mas fuerte a la bola, es de los jugadores amateurs mas largos en estos momentos. Esto en este campo es una ventaja importante, ha dado drives  de mucha calidad y también algunos bastante desviados que en este campo tenían poco castigo. En general era un campo que le podía ayudar mucho a recobrar confianza y a volver a estar en la lucha por ganar. Técnicamente sigue bien, está pateando mejor desde Avila en el Interterritorial y es de muy destacar que es bueno jugando cuando está bajo presión. Tanto en Avila como en Panorámica ha dado muy buen rendimiento en los momentos mas dificiles. Su entrenador Ricardo Boada me comentó que él creía que el tener el tema de los estudios </w:t>
      </w:r>
      <w:r w:rsidRPr="00955DFE">
        <w:rPr>
          <w:rFonts w:ascii="Calibri" w:hAnsi="Calibri"/>
          <w:b/>
          <w:color w:val="002060"/>
          <w:lang w:val="es-ES_tradnl"/>
        </w:rPr>
        <w:lastRenderedPageBreak/>
        <w:t>solventado era claramente un factor en el bajo rendimiento que había tenido a principio de temporada. A título personal estoy muy contento de haber visto esta mejora en Victor.</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MARTIN LARREA. En el campo de prácticas está haciendo muy buen movimiento y está dando muy bien a la bola. En el campo no lo vi, pero  los resultados son muy altos y debemos esperar a la próxima temporada.</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KLAUS GANTER. Resultado del primer dia muy alto 84, aunque hizo un ligero viento jugó muy mal. Técnicamente se ve mejora, la bola vuela con menos draw, mas recta, mas alta y mas fuerte. Es posible que tuviera muchas expectativas depositadas en este torneo y al tener un mal comienzo y considerar que tenía que ganar se autopresionara, cosa que yo creo que ocurrió. El segundo día jugó mejor, fue bajo par toda la vuelta y tuvo mal final, aún y no estando en su mejor momento de forma Klaus es un jugador que puede rendir perfectamente en un Europeo.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ALEJANDRO DEL REY. El campo le iba como anillo al dedo, la primera vuelta con viento jugó muy bien, dando golpes espectaculares que es lo único que le interesa y haciendo un resultado muy digno. Las otras tres jugó regular, mal para él y hizo un resultado no abultado como le ocurría a principio de temporada, esto podría tener una lectura muy positiva si el campo tuviera algo de tensión. Creo como ya indican otros informes que formar parte del equipo nacional español para los europeos le ayudará bastante y tendrá un buen rendimiento.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IÑIGO BEÑARAN. Sigue en su estilo, pega menos que sus compañeros pero también falla menos, en un campo como Panorámica y con su estilo de juego debe notarse bastante indefenso y esto se refleja luego en el resultado. Es un jugador muy completo sin puntos fuertes y sin puntos débiles. Es un jugador muy a tener en cuenta para el equipo del Europeo si el campo de Finlandia es tenso desde el tee.</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PABLO HEREDIA. Resultados muy consistentes con un juego muy ordenado muy parecido a Beñarán aunque tiene mas distancia, poco mas puedo añadir ya que no lo he visto suficiente.</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Referente a los jugadores que están estudiando en Estados Unidos me ha resaltado la poca evolución o incluso empeoramiento de Arribas y Leandro. En el caso de Utrilla no es lo mismo, ha ganado bastante distancia, el swing es mucho mas atlético y él se ha puesto mucho mas fuerte y mas delgado, y los resultados han sido muy buenos.</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Reitero la importancia de jugar cuando sea posible competición con vueltas de 36 hoyos, no es nada fácil mantener la concentración durante 8 horas, además de mantenerse bien alimentado y bien hidratado. Solo queda comentar que en el apartado helicopteros el ganador fue un lanzamiento de 54 pasos, superando al segundo en 30, no siendo esto nada que resaltar ya que el comportamiento es en un 99 por ciento impecable.</w:t>
      </w:r>
    </w:p>
    <w:p w:rsidR="007938FD" w:rsidRDefault="007938FD" w:rsidP="00291901">
      <w:pPr>
        <w:jc w:val="both"/>
        <w:rPr>
          <w:rFonts w:ascii="Calibri" w:hAnsi="Calibri"/>
          <w:color w:val="002060"/>
          <w:lang w:val="es-ES_tradnl"/>
        </w:rPr>
      </w:pPr>
      <w:r>
        <w:rPr>
          <w:rFonts w:ascii="Calibri" w:hAnsi="Calibri"/>
          <w:color w:val="002060"/>
          <w:lang w:val="es-ES_tradnl"/>
        </w:rPr>
        <w:t xml:space="preserve"> </w:t>
      </w:r>
    </w:p>
    <w:p w:rsidR="007938FD" w:rsidRDefault="007938FD" w:rsidP="00291901">
      <w:pPr>
        <w:jc w:val="both"/>
        <w:rPr>
          <w:rFonts w:ascii="Calibri" w:hAnsi="Calibri"/>
          <w:color w:val="002060"/>
          <w:sz w:val="28"/>
          <w:lang w:val="es-ES_tradnl"/>
        </w:rPr>
      </w:pPr>
    </w:p>
    <w:p w:rsidR="007938FD" w:rsidRDefault="007938FD" w:rsidP="00E9519B">
      <w:pPr>
        <w:rPr>
          <w:rFonts w:ascii="Calibri" w:hAnsi="Calibri"/>
          <w:color w:val="002060"/>
          <w:sz w:val="28"/>
          <w:lang w:val="es-ES_tradnl"/>
        </w:rPr>
      </w:pPr>
      <w:r>
        <w:rPr>
          <w:rFonts w:ascii="Calibri" w:hAnsi="Calibri"/>
          <w:color w:val="002060"/>
          <w:sz w:val="28"/>
          <w:lang w:val="es-ES_tradnl"/>
        </w:rPr>
        <w:t xml:space="preserve">                </w:t>
      </w:r>
    </w:p>
    <w:p w:rsidR="007938FD" w:rsidRDefault="007938FD" w:rsidP="00E9519B">
      <w:pPr>
        <w:rPr>
          <w:rFonts w:ascii="Calibri" w:hAnsi="Calibri"/>
          <w:color w:val="002060"/>
          <w:sz w:val="28"/>
          <w:lang w:val="es-ES_tradnl"/>
        </w:rPr>
      </w:pPr>
    </w:p>
    <w:p w:rsidR="007938FD" w:rsidRDefault="007938FD" w:rsidP="00E9519B">
      <w:pPr>
        <w:rPr>
          <w:rFonts w:ascii="Calibri" w:hAnsi="Calibri"/>
          <w:color w:val="002060"/>
          <w:sz w:val="28"/>
          <w:lang w:val="es-ES_tradnl"/>
        </w:rPr>
      </w:pPr>
    </w:p>
    <w:p w:rsidR="007938FD" w:rsidRDefault="007938FD" w:rsidP="00E9519B">
      <w:pPr>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Pr="004B4FF7" w:rsidRDefault="007938FD" w:rsidP="00BE6CE8">
      <w:pPr>
        <w:jc w:val="both"/>
        <w:rPr>
          <w:rFonts w:ascii="Calibri" w:hAnsi="Calibri"/>
          <w:color w:val="002060"/>
          <w:sz w:val="28"/>
          <w:lang w:val="es-ES_tradnl"/>
        </w:rPr>
      </w:pPr>
    </w:p>
    <w:sectPr w:rsidR="007938FD" w:rsidRPr="004B4FF7"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AF3" w:rsidRDefault="00F41AF3">
      <w:r>
        <w:separator/>
      </w:r>
    </w:p>
  </w:endnote>
  <w:endnote w:type="continuationSeparator" w:id="0">
    <w:p w:rsidR="00F41AF3" w:rsidRDefault="00F4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8FD" w:rsidRDefault="007938FD">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7938FD" w:rsidRDefault="007938FD">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7938FD">
      <w:trPr>
        <w:trHeight w:val="529"/>
      </w:trPr>
      <w:tc>
        <w:tcPr>
          <w:tcW w:w="918" w:type="dxa"/>
          <w:tcBorders>
            <w:top w:val="single" w:sz="18" w:space="0" w:color="808080"/>
          </w:tcBorders>
        </w:tcPr>
        <w:p w:rsidR="007938FD" w:rsidRDefault="00F41AF3">
          <w:pPr>
            <w:pStyle w:val="Piede"/>
            <w:jc w:val="right"/>
            <w:rPr>
              <w:b/>
              <w:color w:val="4F81BD"/>
              <w:sz w:val="32"/>
            </w:rPr>
          </w:pPr>
          <w:r>
            <w:fldChar w:fldCharType="begin"/>
          </w:r>
          <w:r>
            <w:instrText xml:space="preserve"> PAGE   \* MERGEFORMAT </w:instrText>
          </w:r>
          <w:r>
            <w:fldChar w:fldCharType="separate"/>
          </w:r>
          <w:r w:rsidR="000A7F3E" w:rsidRPr="000A7F3E">
            <w:rPr>
              <w:b/>
              <w:noProof/>
              <w:color w:val="4F81BD"/>
              <w:sz w:val="32"/>
            </w:rPr>
            <w:t>1</w:t>
          </w:r>
          <w:r>
            <w:rPr>
              <w:b/>
              <w:noProof/>
              <w:color w:val="4F81BD"/>
              <w:sz w:val="32"/>
            </w:rPr>
            <w:fldChar w:fldCharType="end"/>
          </w:r>
        </w:p>
      </w:tc>
      <w:tc>
        <w:tcPr>
          <w:tcW w:w="7938" w:type="dxa"/>
          <w:tcBorders>
            <w:top w:val="single" w:sz="18" w:space="0" w:color="808080"/>
          </w:tcBorders>
        </w:tcPr>
        <w:p w:rsidR="007938FD" w:rsidRDefault="007938FD" w:rsidP="00165381">
          <w:pPr>
            <w:pStyle w:val="Piede"/>
          </w:pPr>
          <w:r>
            <w:t>INFORME VALORACIONES TECNICAS GENERALES – competiciones/concentraciones                                              16/03/2010</w:t>
          </w:r>
        </w:p>
      </w:tc>
    </w:tr>
  </w:tbl>
  <w:p w:rsidR="007938FD" w:rsidRPr="0004733D" w:rsidRDefault="007938FD">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AF3" w:rsidRDefault="00F41AF3">
      <w:r>
        <w:separator/>
      </w:r>
    </w:p>
  </w:footnote>
  <w:footnote w:type="continuationSeparator" w:id="0">
    <w:p w:rsidR="00F41AF3" w:rsidRDefault="00F41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8FD" w:rsidRDefault="000A7F3E">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36020"/>
    <w:rsid w:val="0004733D"/>
    <w:rsid w:val="00047954"/>
    <w:rsid w:val="00050576"/>
    <w:rsid w:val="000614FB"/>
    <w:rsid w:val="00065DA6"/>
    <w:rsid w:val="000727E0"/>
    <w:rsid w:val="0008063F"/>
    <w:rsid w:val="000816A7"/>
    <w:rsid w:val="00081702"/>
    <w:rsid w:val="00087AD0"/>
    <w:rsid w:val="000903DB"/>
    <w:rsid w:val="000945B2"/>
    <w:rsid w:val="00096A31"/>
    <w:rsid w:val="00097AD6"/>
    <w:rsid w:val="000A48F8"/>
    <w:rsid w:val="000A7F3E"/>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5748E"/>
    <w:rsid w:val="0016049E"/>
    <w:rsid w:val="001611E4"/>
    <w:rsid w:val="00165381"/>
    <w:rsid w:val="00165ABE"/>
    <w:rsid w:val="00177DEF"/>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1901"/>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77E38"/>
    <w:rsid w:val="00385111"/>
    <w:rsid w:val="00386BB9"/>
    <w:rsid w:val="00391C8C"/>
    <w:rsid w:val="00394F19"/>
    <w:rsid w:val="00396F2E"/>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77A59"/>
    <w:rsid w:val="0048622F"/>
    <w:rsid w:val="00490E6A"/>
    <w:rsid w:val="00491D0C"/>
    <w:rsid w:val="00492793"/>
    <w:rsid w:val="00494660"/>
    <w:rsid w:val="004A1928"/>
    <w:rsid w:val="004A4F77"/>
    <w:rsid w:val="004A58D2"/>
    <w:rsid w:val="004B1F87"/>
    <w:rsid w:val="004B4FF7"/>
    <w:rsid w:val="004C0D92"/>
    <w:rsid w:val="004C0F69"/>
    <w:rsid w:val="004C6E12"/>
    <w:rsid w:val="004C7EF2"/>
    <w:rsid w:val="004E4569"/>
    <w:rsid w:val="005026EC"/>
    <w:rsid w:val="00504DC9"/>
    <w:rsid w:val="00506A85"/>
    <w:rsid w:val="00511C4D"/>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5F481C"/>
    <w:rsid w:val="006026D0"/>
    <w:rsid w:val="006127F7"/>
    <w:rsid w:val="00622307"/>
    <w:rsid w:val="006231D8"/>
    <w:rsid w:val="006262DD"/>
    <w:rsid w:val="00647265"/>
    <w:rsid w:val="00655494"/>
    <w:rsid w:val="00660365"/>
    <w:rsid w:val="00666FEB"/>
    <w:rsid w:val="0068354C"/>
    <w:rsid w:val="006A0BA5"/>
    <w:rsid w:val="006D0FC5"/>
    <w:rsid w:val="006E3DE3"/>
    <w:rsid w:val="006E7BA1"/>
    <w:rsid w:val="00711F0D"/>
    <w:rsid w:val="00714DBD"/>
    <w:rsid w:val="0071775F"/>
    <w:rsid w:val="007537DF"/>
    <w:rsid w:val="007649A4"/>
    <w:rsid w:val="0078311E"/>
    <w:rsid w:val="00790F59"/>
    <w:rsid w:val="00791369"/>
    <w:rsid w:val="007938FD"/>
    <w:rsid w:val="007A6AD0"/>
    <w:rsid w:val="007A7899"/>
    <w:rsid w:val="007A7ACE"/>
    <w:rsid w:val="007B0BB7"/>
    <w:rsid w:val="007B1F1F"/>
    <w:rsid w:val="007C56FD"/>
    <w:rsid w:val="007C5A30"/>
    <w:rsid w:val="007C622B"/>
    <w:rsid w:val="007D7842"/>
    <w:rsid w:val="007F5E5D"/>
    <w:rsid w:val="0080128F"/>
    <w:rsid w:val="00804B3A"/>
    <w:rsid w:val="00823446"/>
    <w:rsid w:val="0083504D"/>
    <w:rsid w:val="00852DB0"/>
    <w:rsid w:val="0085391E"/>
    <w:rsid w:val="00863763"/>
    <w:rsid w:val="008650FD"/>
    <w:rsid w:val="00866640"/>
    <w:rsid w:val="00874512"/>
    <w:rsid w:val="0088327A"/>
    <w:rsid w:val="008933FF"/>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55DFE"/>
    <w:rsid w:val="0097156C"/>
    <w:rsid w:val="00974DA9"/>
    <w:rsid w:val="00981553"/>
    <w:rsid w:val="00981FB3"/>
    <w:rsid w:val="00983C56"/>
    <w:rsid w:val="0099413C"/>
    <w:rsid w:val="009A46B8"/>
    <w:rsid w:val="009B263F"/>
    <w:rsid w:val="009C1477"/>
    <w:rsid w:val="009C5CD2"/>
    <w:rsid w:val="009D0E1D"/>
    <w:rsid w:val="009E55E0"/>
    <w:rsid w:val="009E714C"/>
    <w:rsid w:val="009F46D9"/>
    <w:rsid w:val="00A14BC7"/>
    <w:rsid w:val="00A237C3"/>
    <w:rsid w:val="00A31872"/>
    <w:rsid w:val="00A445DC"/>
    <w:rsid w:val="00A47B73"/>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1EAF"/>
    <w:rsid w:val="00B263E1"/>
    <w:rsid w:val="00B37515"/>
    <w:rsid w:val="00B43F7D"/>
    <w:rsid w:val="00B452FC"/>
    <w:rsid w:val="00B45E28"/>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E6CE8"/>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172D6"/>
    <w:rsid w:val="00E20EFE"/>
    <w:rsid w:val="00E227BA"/>
    <w:rsid w:val="00E22C4A"/>
    <w:rsid w:val="00E31C49"/>
    <w:rsid w:val="00E3691D"/>
    <w:rsid w:val="00E51E2B"/>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02699"/>
    <w:rsid w:val="00F10C5F"/>
    <w:rsid w:val="00F122CB"/>
    <w:rsid w:val="00F217F5"/>
    <w:rsid w:val="00F24089"/>
    <w:rsid w:val="00F25D60"/>
    <w:rsid w:val="00F340E4"/>
    <w:rsid w:val="00F35A7D"/>
    <w:rsid w:val="00F3775A"/>
    <w:rsid w:val="00F4192E"/>
    <w:rsid w:val="00F41AF3"/>
    <w:rsid w:val="00F716D5"/>
    <w:rsid w:val="00F7277B"/>
    <w:rsid w:val="00F7284D"/>
    <w:rsid w:val="00F75F21"/>
    <w:rsid w:val="00F76228"/>
    <w:rsid w:val="00F82F90"/>
    <w:rsid w:val="00F869B0"/>
    <w:rsid w:val="00F906AA"/>
    <w:rsid w:val="00F91414"/>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FA9"/>
    <w:rPr>
      <w:rFonts w:asciiTheme="majorHAnsi" w:eastAsiaTheme="majorEastAsia" w:hAnsiTheme="majorHAnsi" w:cstheme="majorBidi"/>
      <w:b/>
      <w:bCs/>
      <w:kern w:val="32"/>
      <w:sz w:val="32"/>
      <w:szCs w:val="32"/>
      <w:lang w:val="es-ES" w:eastAsia="es-ES_tradnl"/>
    </w:rPr>
  </w:style>
  <w:style w:type="character" w:customStyle="1" w:styleId="Ttulo2Car">
    <w:name w:val="Título 2 Car"/>
    <w:basedOn w:val="Fuentedeprrafopredeter"/>
    <w:link w:val="Ttulo2"/>
    <w:uiPriority w:val="9"/>
    <w:semiHidden/>
    <w:rsid w:val="001E6FA9"/>
    <w:rPr>
      <w:rFonts w:asciiTheme="majorHAnsi" w:eastAsiaTheme="majorEastAsia" w:hAnsiTheme="majorHAnsi" w:cstheme="majorBidi"/>
      <w:b/>
      <w:bCs/>
      <w:i/>
      <w:iCs/>
      <w:sz w:val="28"/>
      <w:szCs w:val="28"/>
      <w:lang w:val="es-ES" w:eastAsia="es-ES_tradnl"/>
    </w:rPr>
  </w:style>
  <w:style w:type="character" w:customStyle="1" w:styleId="Fuentedeprrafopred">
    <w:name w:val="Fuente de p‡rrafo pred"/>
    <w:uiPriority w:val="99"/>
    <w:semiHidden/>
  </w:style>
  <w:style w:type="paragraph" w:customStyle="1" w:styleId="Ttul">
    <w:name w:val="T’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œmero de p"/>
    <w:basedOn w:val="Fuentedeprrafopred"/>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
    <w:uiPriority w:val="99"/>
    <w:rsid w:val="0004733D"/>
    <w:rPr>
      <w:rFonts w:ascii="Tahoma" w:hAnsi="Tahoma" w:cs="Times New Roman"/>
      <w:sz w:val="22"/>
      <w:lang w:eastAsia="es-ES_tradnl"/>
    </w:rPr>
  </w:style>
  <w:style w:type="character" w:customStyle="1" w:styleId="FooterChar">
    <w:name w:val="Footer Char"/>
    <w:basedOn w:val="Fuentedeprrafopred"/>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
    <w:uiPriority w:val="99"/>
    <w:rsid w:val="0004733D"/>
    <w:rPr>
      <w:rFonts w:ascii="Tahoma" w:hAnsi="Tahoma" w:cs="Tahoma"/>
      <w:sz w:val="16"/>
      <w:lang w:eastAsia="es-ES_tradnl"/>
    </w:rPr>
  </w:style>
  <w:style w:type="table" w:customStyle="1" w:styleId="Tablaconcolum">
    <w:name w:val="Tabla con colum"/>
    <w:uiPriority w:val="99"/>
    <w:rsid w:val="00EE05DA"/>
    <w:rPr>
      <w:b/>
      <w:bCs/>
      <w:lang w:val="es-ES" w:eastAsia="es-E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shd w:val="clear" w:color="auto" w:fill="auto"/>
      </w:rPr>
      <w:tblPr/>
      <w:tcPr>
        <w:tcBorders>
          <w:bottom w:val="double" w:sz="6" w:space="0" w:color="000000"/>
          <w:tl2br w:val="none" w:sz="0" w:space="0" w:color="auto"/>
          <w:tr2bl w:val="none" w:sz="0" w:space="0" w:color="auto"/>
        </w:tcBorders>
      </w:tcPr>
    </w:tblStylePr>
    <w:tblStylePr w:type="lastRow">
      <w:rPr>
        <w:rFonts w:cs="Times New Roman"/>
        <w:b w:val="0"/>
        <w:bCs w:val="0"/>
        <w:shd w:val="clear" w:color="auto" w:fill="auto"/>
      </w:rPr>
      <w:tblPr/>
      <w:tcPr>
        <w:tcBorders>
          <w:tl2br w:val="none" w:sz="0" w:space="0" w:color="auto"/>
          <w:tr2bl w:val="none" w:sz="0" w:space="0" w:color="auto"/>
        </w:tcBorders>
      </w:tcPr>
    </w:tblStylePr>
    <w:tblStylePr w:type="firstCol">
      <w:rPr>
        <w:rFonts w:cs="Times New Roman"/>
        <w:b w:val="0"/>
        <w:bCs w:val="0"/>
        <w:shd w:val="clear" w:color="auto" w:fill="auto"/>
      </w:rPr>
      <w:tblPr/>
      <w:tcPr>
        <w:tcBorders>
          <w:tl2br w:val="none" w:sz="0" w:space="0" w:color="auto"/>
          <w:tr2bl w:val="none" w:sz="0" w:space="0" w:color="auto"/>
        </w:tcBorders>
      </w:tcPr>
    </w:tblStylePr>
    <w:tblStylePr w:type="lastCol">
      <w:rPr>
        <w:rFonts w:cs="Times New Roman"/>
        <w:b w:val="0"/>
        <w:bCs w:val="0"/>
        <w:shd w:val="clear" w:color="auto" w:fill="auto"/>
      </w:rPr>
      <w:tblPr/>
      <w:tcPr>
        <w:tcBorders>
          <w:tl2br w:val="none" w:sz="0" w:space="0" w:color="auto"/>
          <w:tr2bl w:val="none" w:sz="0" w:space="0" w:color="auto"/>
        </w:tcBorders>
      </w:tcPr>
    </w:tblStylePr>
    <w:tblStylePr w:type="band1Vert">
      <w:rPr>
        <w:rFonts w:cs="Times New Roman"/>
        <w:color w:val="auto"/>
        <w:shd w:val="clear" w:color="auto" w:fill="auto"/>
      </w:rPr>
      <w:tblPr/>
      <w:tcPr>
        <w:shd w:val="pct25" w:color="000000" w:fill="FFFFFF"/>
      </w:tcPr>
    </w:tblStylePr>
    <w:tblStylePr w:type="band2Vert">
      <w:rPr>
        <w:rFonts w:cs="Times New Roman"/>
        <w:color w:val="auto"/>
        <w:shd w:val="clear" w:color="auto" w:fill="auto"/>
      </w:rPr>
      <w:tblPr/>
      <w:tcPr>
        <w:shd w:val="pct25" w:color="FFFF00" w:fill="FFFFFF"/>
      </w:tcPr>
    </w:tblStylePr>
    <w:tblStylePr w:type="neCell">
      <w:rPr>
        <w:rFonts w:cs="Times New Roman"/>
        <w:b/>
        <w:bCs/>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shd w:val="clear" w:color="auto" w:fill="auto"/>
      </w:rPr>
      <w:tblPr/>
      <w:tcPr>
        <w:tcBorders>
          <w:tl2br w:val="none" w:sz="0" w:space="0" w:color="auto"/>
          <w:tr2bl w:val="none" w:sz="0" w:space="0" w:color="auto"/>
        </w:tcBorders>
        <w:shd w:val="solid" w:color="000080" w:fill="FFFFFF"/>
      </w:tcPr>
    </w:tblStylePr>
    <w:tblStylePr w:type="lastRow">
      <w:rPr>
        <w:rFonts w:cs="Times New Roman"/>
        <w:b/>
        <w:bCs/>
        <w:color w:val="auto"/>
        <w:shd w:val="clear" w:color="auto" w:fill="auto"/>
      </w:rPr>
      <w:tblPr/>
      <w:tcPr>
        <w:tcBorders>
          <w:tl2br w:val="none" w:sz="0" w:space="0" w:color="auto"/>
          <w:tr2bl w:val="none" w:sz="0" w:space="0" w:color="auto"/>
        </w:tcBorders>
      </w:tcPr>
    </w:tblStylePr>
    <w:tblStylePr w:type="lastCol">
      <w:rPr>
        <w:rFonts w:cs="Times New Roman"/>
        <w:b/>
        <w:bCs/>
        <w:color w:val="auto"/>
        <w:shd w:val="clear" w:color="auto" w:fill="auto"/>
      </w:rPr>
      <w:tblPr/>
      <w:tcPr>
        <w:tcBorders>
          <w:tl2br w:val="none" w:sz="0" w:space="0" w:color="auto"/>
          <w:tr2bl w:val="none" w:sz="0" w:space="0" w:color="auto"/>
        </w:tcBorders>
      </w:tcPr>
    </w:tblStyle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FA9"/>
    <w:rPr>
      <w:rFonts w:asciiTheme="majorHAnsi" w:eastAsiaTheme="majorEastAsia" w:hAnsiTheme="majorHAnsi" w:cstheme="majorBidi"/>
      <w:b/>
      <w:bCs/>
      <w:kern w:val="32"/>
      <w:sz w:val="32"/>
      <w:szCs w:val="32"/>
      <w:lang w:val="es-ES" w:eastAsia="es-ES_tradnl"/>
    </w:rPr>
  </w:style>
  <w:style w:type="character" w:customStyle="1" w:styleId="Ttulo2Car">
    <w:name w:val="Título 2 Car"/>
    <w:basedOn w:val="Fuentedeprrafopredeter"/>
    <w:link w:val="Ttulo2"/>
    <w:uiPriority w:val="9"/>
    <w:semiHidden/>
    <w:rsid w:val="001E6FA9"/>
    <w:rPr>
      <w:rFonts w:asciiTheme="majorHAnsi" w:eastAsiaTheme="majorEastAsia" w:hAnsiTheme="majorHAnsi" w:cstheme="majorBidi"/>
      <w:b/>
      <w:bCs/>
      <w:i/>
      <w:iCs/>
      <w:sz w:val="28"/>
      <w:szCs w:val="28"/>
      <w:lang w:val="es-ES" w:eastAsia="es-ES_tradnl"/>
    </w:rPr>
  </w:style>
  <w:style w:type="character" w:customStyle="1" w:styleId="Fuentedeprrafopred">
    <w:name w:val="Fuente de p‡rrafo pred"/>
    <w:uiPriority w:val="99"/>
    <w:semiHidden/>
  </w:style>
  <w:style w:type="paragraph" w:customStyle="1" w:styleId="Ttul">
    <w:name w:val="T’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œmero de p"/>
    <w:basedOn w:val="Fuentedeprrafopred"/>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
    <w:uiPriority w:val="99"/>
    <w:rsid w:val="0004733D"/>
    <w:rPr>
      <w:rFonts w:ascii="Tahoma" w:hAnsi="Tahoma" w:cs="Times New Roman"/>
      <w:sz w:val="22"/>
      <w:lang w:eastAsia="es-ES_tradnl"/>
    </w:rPr>
  </w:style>
  <w:style w:type="character" w:customStyle="1" w:styleId="FooterChar">
    <w:name w:val="Footer Char"/>
    <w:basedOn w:val="Fuentedeprrafopred"/>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
    <w:uiPriority w:val="99"/>
    <w:rsid w:val="0004733D"/>
    <w:rPr>
      <w:rFonts w:ascii="Tahoma" w:hAnsi="Tahoma" w:cs="Tahoma"/>
      <w:sz w:val="16"/>
      <w:lang w:eastAsia="es-ES_tradnl"/>
    </w:rPr>
  </w:style>
  <w:style w:type="table" w:customStyle="1" w:styleId="Tablaconcolum">
    <w:name w:val="Tabla con colum"/>
    <w:uiPriority w:val="99"/>
    <w:rsid w:val="00EE05DA"/>
    <w:rPr>
      <w:b/>
      <w:bCs/>
      <w:lang w:val="es-ES" w:eastAsia="es-E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shd w:val="clear" w:color="auto" w:fill="auto"/>
      </w:rPr>
      <w:tblPr/>
      <w:tcPr>
        <w:tcBorders>
          <w:bottom w:val="double" w:sz="6" w:space="0" w:color="000000"/>
          <w:tl2br w:val="none" w:sz="0" w:space="0" w:color="auto"/>
          <w:tr2bl w:val="none" w:sz="0" w:space="0" w:color="auto"/>
        </w:tcBorders>
      </w:tcPr>
    </w:tblStylePr>
    <w:tblStylePr w:type="lastRow">
      <w:rPr>
        <w:rFonts w:cs="Times New Roman"/>
        <w:b w:val="0"/>
        <w:bCs w:val="0"/>
        <w:shd w:val="clear" w:color="auto" w:fill="auto"/>
      </w:rPr>
      <w:tblPr/>
      <w:tcPr>
        <w:tcBorders>
          <w:tl2br w:val="none" w:sz="0" w:space="0" w:color="auto"/>
          <w:tr2bl w:val="none" w:sz="0" w:space="0" w:color="auto"/>
        </w:tcBorders>
      </w:tcPr>
    </w:tblStylePr>
    <w:tblStylePr w:type="firstCol">
      <w:rPr>
        <w:rFonts w:cs="Times New Roman"/>
        <w:b w:val="0"/>
        <w:bCs w:val="0"/>
        <w:shd w:val="clear" w:color="auto" w:fill="auto"/>
      </w:rPr>
      <w:tblPr/>
      <w:tcPr>
        <w:tcBorders>
          <w:tl2br w:val="none" w:sz="0" w:space="0" w:color="auto"/>
          <w:tr2bl w:val="none" w:sz="0" w:space="0" w:color="auto"/>
        </w:tcBorders>
      </w:tcPr>
    </w:tblStylePr>
    <w:tblStylePr w:type="lastCol">
      <w:rPr>
        <w:rFonts w:cs="Times New Roman"/>
        <w:b w:val="0"/>
        <w:bCs w:val="0"/>
        <w:shd w:val="clear" w:color="auto" w:fill="auto"/>
      </w:rPr>
      <w:tblPr/>
      <w:tcPr>
        <w:tcBorders>
          <w:tl2br w:val="none" w:sz="0" w:space="0" w:color="auto"/>
          <w:tr2bl w:val="none" w:sz="0" w:space="0" w:color="auto"/>
        </w:tcBorders>
      </w:tcPr>
    </w:tblStylePr>
    <w:tblStylePr w:type="band1Vert">
      <w:rPr>
        <w:rFonts w:cs="Times New Roman"/>
        <w:color w:val="auto"/>
        <w:shd w:val="clear" w:color="auto" w:fill="auto"/>
      </w:rPr>
      <w:tblPr/>
      <w:tcPr>
        <w:shd w:val="pct25" w:color="000000" w:fill="FFFFFF"/>
      </w:tcPr>
    </w:tblStylePr>
    <w:tblStylePr w:type="band2Vert">
      <w:rPr>
        <w:rFonts w:cs="Times New Roman"/>
        <w:color w:val="auto"/>
        <w:shd w:val="clear" w:color="auto" w:fill="auto"/>
      </w:rPr>
      <w:tblPr/>
      <w:tcPr>
        <w:shd w:val="pct25" w:color="FFFF00" w:fill="FFFFFF"/>
      </w:tcPr>
    </w:tblStylePr>
    <w:tblStylePr w:type="neCell">
      <w:rPr>
        <w:rFonts w:cs="Times New Roman"/>
        <w:b/>
        <w:bCs/>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shd w:val="clear" w:color="auto" w:fill="auto"/>
      </w:rPr>
      <w:tblPr/>
      <w:tcPr>
        <w:tcBorders>
          <w:tl2br w:val="none" w:sz="0" w:space="0" w:color="auto"/>
          <w:tr2bl w:val="none" w:sz="0" w:space="0" w:color="auto"/>
        </w:tcBorders>
        <w:shd w:val="solid" w:color="000080" w:fill="FFFFFF"/>
      </w:tcPr>
    </w:tblStylePr>
    <w:tblStylePr w:type="lastRow">
      <w:rPr>
        <w:rFonts w:cs="Times New Roman"/>
        <w:b/>
        <w:bCs/>
        <w:color w:val="auto"/>
        <w:shd w:val="clear" w:color="auto" w:fill="auto"/>
      </w:rPr>
      <w:tblPr/>
      <w:tcPr>
        <w:tcBorders>
          <w:tl2br w:val="none" w:sz="0" w:space="0" w:color="auto"/>
          <w:tr2bl w:val="none" w:sz="0" w:space="0" w:color="auto"/>
        </w:tcBorders>
      </w:tcPr>
    </w:tblStylePr>
    <w:tblStylePr w:type="lastCol">
      <w:rPr>
        <w:rFonts w:cs="Times New Roman"/>
        <w:b/>
        <w:bCs/>
        <w:color w:val="auto"/>
        <w:shd w:val="clear" w:color="auto" w:fill="auto"/>
      </w:rPr>
      <w:tblPr/>
      <w:tcPr>
        <w:tcBorders>
          <w:tl2br w:val="none" w:sz="0" w:space="0" w:color="auto"/>
          <w:tr2bl w:val="none" w:sz="0" w:space="0" w:color="auto"/>
        </w:tcBorders>
      </w:tcPr>
    </w:tblStyle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5458365-3201-401C-9A9B-543E8FCF0975}"/>
</file>

<file path=customXml/itemProps2.xml><?xml version="1.0" encoding="utf-8"?>
<ds:datastoreItem xmlns:ds="http://schemas.openxmlformats.org/officeDocument/2006/customXml" ds:itemID="{8EE83EB3-C68B-479C-9084-2A9CA65EDA1F}"/>
</file>

<file path=customXml/itemProps3.xml><?xml version="1.0" encoding="utf-8"?>
<ds:datastoreItem xmlns:ds="http://schemas.openxmlformats.org/officeDocument/2006/customXml" ds:itemID="{C65865AC-76D1-4158-AC5E-DFBA328480DD}"/>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5170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Fernandez de Gamboa</cp:lastModifiedBy>
  <cp:revision>2</cp:revision>
  <dcterms:created xsi:type="dcterms:W3CDTF">2015-05-19T10:25:00Z</dcterms:created>
  <dcterms:modified xsi:type="dcterms:W3CDTF">2015-05-19T10:25:00Z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