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0CD" w:rsidRPr="005E7E3A" w:rsidRDefault="00CB30CD">
      <w:pPr>
        <w:jc w:val="both"/>
        <w:rPr>
          <w:rFonts w:ascii="Calibri" w:hAnsi="Calibri"/>
          <w:sz w:val="20"/>
        </w:rPr>
      </w:pPr>
    </w:p>
    <w:p w:rsidR="00CB30CD" w:rsidRPr="00D03E2F" w:rsidRDefault="00881E36" w:rsidP="00881E36">
      <w:pPr>
        <w:jc w:val="right"/>
        <w:rPr>
          <w:rFonts w:ascii="Calibri" w:hAnsi="Calibri"/>
          <w:lang w:val="en-US"/>
        </w:rPr>
      </w:pPr>
      <w:r w:rsidRPr="00D03E2F">
        <w:rPr>
          <w:rFonts w:ascii="Calibri" w:hAnsi="Calibri"/>
          <w:lang w:val="en-US"/>
        </w:rPr>
        <w:t>2.11.2010</w:t>
      </w:r>
    </w:p>
    <w:p w:rsidR="00CB30CD" w:rsidRPr="00D03E2F" w:rsidRDefault="00CB30CD">
      <w:pPr>
        <w:jc w:val="both"/>
        <w:rPr>
          <w:rFonts w:ascii="Calibri" w:hAnsi="Calibri"/>
          <w:lang w:val="en-US"/>
        </w:rPr>
      </w:pPr>
    </w:p>
    <w:p w:rsidR="00705AB2" w:rsidRPr="00FC77DF" w:rsidRDefault="00705AB2" w:rsidP="00705AB2">
      <w:pPr>
        <w:jc w:val="center"/>
        <w:rPr>
          <w:rFonts w:ascii="Tahoma" w:hAnsi="Tahoma" w:cs="Tahoma"/>
          <w:b/>
          <w:sz w:val="24"/>
          <w:szCs w:val="24"/>
          <w:lang w:val="en-US"/>
        </w:rPr>
      </w:pPr>
      <w:r w:rsidRPr="00FC77DF">
        <w:rPr>
          <w:rFonts w:ascii="Tahoma" w:hAnsi="Tahoma" w:cs="Tahoma"/>
          <w:b/>
          <w:sz w:val="24"/>
          <w:szCs w:val="24"/>
          <w:lang w:val="en-US"/>
        </w:rPr>
        <w:t>Commission Work Programme 2011</w:t>
      </w:r>
    </w:p>
    <w:p w:rsidR="00705AB2" w:rsidRPr="00146D42" w:rsidRDefault="00705AB2" w:rsidP="00705AB2">
      <w:pPr>
        <w:spacing w:before="100" w:beforeAutospacing="1" w:after="100" w:afterAutospacing="1" w:line="240" w:lineRule="auto"/>
        <w:rPr>
          <w:rFonts w:ascii="Tahoma" w:eastAsia="Times New Roman" w:hAnsi="Tahoma" w:cs="Tahoma"/>
          <w:sz w:val="20"/>
          <w:szCs w:val="20"/>
          <w:lang w:val="en-US"/>
        </w:rPr>
      </w:pPr>
      <w:r w:rsidRPr="00146D42">
        <w:rPr>
          <w:rFonts w:ascii="Tahoma" w:eastAsia="Times New Roman" w:hAnsi="Tahoma" w:cs="Tahoma"/>
          <w:sz w:val="20"/>
          <w:szCs w:val="20"/>
          <w:lang w:val="en-US"/>
        </w:rPr>
        <w:t>On 27</w:t>
      </w:r>
      <w:r w:rsidRPr="00146D42">
        <w:rPr>
          <w:rFonts w:ascii="Tahoma" w:eastAsia="Times New Roman" w:hAnsi="Tahoma" w:cs="Tahoma"/>
          <w:sz w:val="20"/>
          <w:szCs w:val="20"/>
          <w:vertAlign w:val="superscript"/>
          <w:lang w:val="en-US"/>
        </w:rPr>
        <w:t>th</w:t>
      </w:r>
      <w:r w:rsidRPr="00146D42">
        <w:rPr>
          <w:rFonts w:ascii="Tahoma" w:eastAsia="Times New Roman" w:hAnsi="Tahoma" w:cs="Tahoma"/>
          <w:sz w:val="20"/>
          <w:szCs w:val="20"/>
          <w:lang w:val="en-US"/>
        </w:rPr>
        <w:t xml:space="preserve"> October 2010 the Commission presented its Work Programme for 2011 (CWP 2011), which builds on the five main political priorities for the EU, as set out b</w:t>
      </w:r>
      <w:r>
        <w:rPr>
          <w:rFonts w:ascii="Tahoma" w:eastAsia="Times New Roman" w:hAnsi="Tahoma" w:cs="Tahoma"/>
          <w:sz w:val="20"/>
          <w:szCs w:val="20"/>
          <w:lang w:val="en-US"/>
        </w:rPr>
        <w:t>y President Ba</w:t>
      </w:r>
      <w:r w:rsidRPr="00146D42">
        <w:rPr>
          <w:rFonts w:ascii="Tahoma" w:eastAsia="Times New Roman" w:hAnsi="Tahoma" w:cs="Tahoma"/>
          <w:sz w:val="20"/>
          <w:szCs w:val="20"/>
          <w:lang w:val="en-US"/>
        </w:rPr>
        <w:t>rroso in September 2010. These priorities are:</w:t>
      </w:r>
    </w:p>
    <w:p w:rsidR="00705AB2" w:rsidRPr="00146D42" w:rsidRDefault="00705AB2" w:rsidP="00705AB2">
      <w:pPr>
        <w:pStyle w:val="Prrafodelista"/>
        <w:numPr>
          <w:ilvl w:val="0"/>
          <w:numId w:val="10"/>
        </w:numPr>
        <w:spacing w:before="100" w:beforeAutospacing="1" w:after="100" w:afterAutospacing="1"/>
        <w:rPr>
          <w:rFonts w:ascii="Tahoma" w:eastAsia="Times New Roman" w:hAnsi="Tahoma" w:cs="Tahoma"/>
          <w:sz w:val="20"/>
          <w:szCs w:val="20"/>
        </w:rPr>
      </w:pPr>
      <w:r w:rsidRPr="00146D42">
        <w:rPr>
          <w:rFonts w:ascii="Tahoma" w:eastAsia="Times New Roman" w:hAnsi="Tahoma" w:cs="Tahoma"/>
          <w:sz w:val="20"/>
          <w:szCs w:val="20"/>
        </w:rPr>
        <w:t>Dealing with the economic crisis and building the momentum of the recovery</w:t>
      </w:r>
    </w:p>
    <w:p w:rsidR="00705AB2" w:rsidRPr="00146D42" w:rsidRDefault="00705AB2" w:rsidP="00705AB2">
      <w:pPr>
        <w:pStyle w:val="Prrafodelista"/>
        <w:numPr>
          <w:ilvl w:val="0"/>
          <w:numId w:val="10"/>
        </w:numPr>
        <w:spacing w:before="100" w:beforeAutospacing="1" w:after="100" w:afterAutospacing="1"/>
        <w:rPr>
          <w:rFonts w:ascii="Tahoma" w:eastAsia="Times New Roman" w:hAnsi="Tahoma" w:cs="Tahoma"/>
          <w:sz w:val="20"/>
          <w:szCs w:val="20"/>
        </w:rPr>
      </w:pPr>
      <w:r w:rsidRPr="00146D42">
        <w:rPr>
          <w:rFonts w:ascii="Tahoma" w:eastAsia="Times New Roman" w:hAnsi="Tahoma" w:cs="Tahoma"/>
          <w:sz w:val="20"/>
          <w:szCs w:val="20"/>
        </w:rPr>
        <w:t>Restoring growth for jobs by accelerating the Europe 2020 reform agenda</w:t>
      </w:r>
    </w:p>
    <w:p w:rsidR="00705AB2" w:rsidRPr="00146D42" w:rsidRDefault="00705AB2" w:rsidP="00705AB2">
      <w:pPr>
        <w:pStyle w:val="Prrafodelista"/>
        <w:numPr>
          <w:ilvl w:val="0"/>
          <w:numId w:val="10"/>
        </w:numPr>
        <w:spacing w:before="100" w:beforeAutospacing="1" w:after="100" w:afterAutospacing="1"/>
        <w:rPr>
          <w:rFonts w:ascii="Tahoma" w:eastAsia="Times New Roman" w:hAnsi="Tahoma" w:cs="Tahoma"/>
          <w:sz w:val="20"/>
          <w:szCs w:val="20"/>
        </w:rPr>
      </w:pPr>
      <w:r w:rsidRPr="00146D42">
        <w:rPr>
          <w:rFonts w:ascii="Tahoma" w:eastAsia="Times New Roman" w:hAnsi="Tahoma" w:cs="Tahoma"/>
          <w:sz w:val="20"/>
          <w:szCs w:val="20"/>
        </w:rPr>
        <w:t>Building an area of freedom, justice and security</w:t>
      </w:r>
    </w:p>
    <w:p w:rsidR="00705AB2" w:rsidRPr="00146D42" w:rsidRDefault="00705AB2" w:rsidP="00705AB2">
      <w:pPr>
        <w:pStyle w:val="Prrafodelista"/>
        <w:numPr>
          <w:ilvl w:val="0"/>
          <w:numId w:val="10"/>
        </w:numPr>
        <w:spacing w:before="100" w:beforeAutospacing="1" w:after="100" w:afterAutospacing="1"/>
        <w:rPr>
          <w:rFonts w:ascii="Tahoma" w:eastAsia="Times New Roman" w:hAnsi="Tahoma" w:cs="Tahoma"/>
          <w:sz w:val="20"/>
          <w:szCs w:val="20"/>
        </w:rPr>
      </w:pPr>
      <w:r w:rsidRPr="00146D42">
        <w:rPr>
          <w:rFonts w:ascii="Tahoma" w:eastAsia="Times New Roman" w:hAnsi="Tahoma" w:cs="Tahoma"/>
          <w:sz w:val="20"/>
          <w:szCs w:val="20"/>
        </w:rPr>
        <w:t>Launching negotiations for a modern EU budget</w:t>
      </w:r>
    </w:p>
    <w:p w:rsidR="00705AB2" w:rsidRPr="00146D42" w:rsidRDefault="00705AB2" w:rsidP="00705AB2">
      <w:pPr>
        <w:pStyle w:val="Prrafodelista"/>
        <w:numPr>
          <w:ilvl w:val="0"/>
          <w:numId w:val="10"/>
        </w:numPr>
        <w:spacing w:before="100" w:beforeAutospacing="1" w:after="100" w:afterAutospacing="1"/>
        <w:rPr>
          <w:rFonts w:ascii="Tahoma" w:eastAsia="Times New Roman" w:hAnsi="Tahoma" w:cs="Tahoma"/>
          <w:sz w:val="20"/>
          <w:szCs w:val="20"/>
        </w:rPr>
      </w:pPr>
      <w:r w:rsidRPr="00146D42">
        <w:rPr>
          <w:rFonts w:ascii="Tahoma" w:eastAsia="Times New Roman" w:hAnsi="Tahoma" w:cs="Tahoma"/>
          <w:sz w:val="20"/>
          <w:szCs w:val="20"/>
        </w:rPr>
        <w:t xml:space="preserve">Pulling the EU’s weight on the global stage </w:t>
      </w:r>
    </w:p>
    <w:p w:rsidR="00705AB2" w:rsidRPr="00146D42" w:rsidRDefault="00705AB2" w:rsidP="00705AB2">
      <w:pPr>
        <w:spacing w:before="100" w:beforeAutospacing="1" w:after="100" w:afterAutospacing="1" w:line="240" w:lineRule="auto"/>
        <w:rPr>
          <w:rFonts w:ascii="Tahoma" w:eastAsia="Times New Roman" w:hAnsi="Tahoma" w:cs="Tahoma"/>
          <w:sz w:val="20"/>
          <w:szCs w:val="20"/>
          <w:lang w:val="en-US"/>
        </w:rPr>
      </w:pPr>
      <w:r w:rsidRPr="00146D42">
        <w:rPr>
          <w:rFonts w:ascii="Tahoma" w:eastAsia="Times New Roman" w:hAnsi="Tahoma" w:cs="Tahoma"/>
          <w:sz w:val="20"/>
          <w:szCs w:val="20"/>
          <w:lang w:val="en-US"/>
        </w:rPr>
        <w:t xml:space="preserve">Although the </w:t>
      </w:r>
      <w:r w:rsidRPr="00FC77DF">
        <w:rPr>
          <w:rFonts w:ascii="Tahoma" w:eastAsia="Times New Roman" w:hAnsi="Tahoma" w:cs="Tahoma"/>
          <w:sz w:val="20"/>
          <w:szCs w:val="20"/>
          <w:lang w:val="en-US"/>
        </w:rPr>
        <w:t>CWP 2011</w:t>
      </w:r>
      <w:r w:rsidRPr="00146D42">
        <w:rPr>
          <w:rFonts w:ascii="Tahoma" w:eastAsia="Times New Roman" w:hAnsi="Tahoma" w:cs="Tahoma"/>
          <w:sz w:val="20"/>
          <w:szCs w:val="20"/>
          <w:lang w:val="en-US"/>
        </w:rPr>
        <w:t xml:space="preserve"> focuses on actions to be delivered by 2011 it also</w:t>
      </w:r>
      <w:r w:rsidRPr="00FC77DF">
        <w:rPr>
          <w:rFonts w:ascii="Tahoma" w:eastAsia="Times New Roman" w:hAnsi="Tahoma" w:cs="Tahoma"/>
          <w:sz w:val="20"/>
          <w:szCs w:val="20"/>
          <w:lang w:val="en-US"/>
        </w:rPr>
        <w:t xml:space="preserve"> gives a multiannual overview </w:t>
      </w:r>
      <w:r w:rsidRPr="00146D42">
        <w:rPr>
          <w:rFonts w:ascii="Tahoma" w:eastAsia="Times New Roman" w:hAnsi="Tahoma" w:cs="Tahoma"/>
          <w:sz w:val="20"/>
          <w:szCs w:val="20"/>
          <w:lang w:val="en-US"/>
        </w:rPr>
        <w:t>with</w:t>
      </w:r>
      <w:r w:rsidRPr="00FC77DF">
        <w:rPr>
          <w:rFonts w:ascii="Tahoma" w:eastAsia="Times New Roman" w:hAnsi="Tahoma" w:cs="Tahoma"/>
          <w:sz w:val="20"/>
          <w:szCs w:val="20"/>
          <w:lang w:val="en-US"/>
        </w:rPr>
        <w:t xml:space="preserve"> an indicative list of other important initiatives for 2011</w:t>
      </w:r>
      <w:r w:rsidRPr="00FC77DF">
        <w:rPr>
          <w:rFonts w:ascii="Tahoma" w:eastAsia="Times New Roman" w:hAnsi="Tahoma" w:cs="Tahoma"/>
          <w:sz w:val="20"/>
          <w:szCs w:val="20"/>
          <w:lang w:val="en-US"/>
        </w:rPr>
        <w:noBreakHyphen/>
        <w:t xml:space="preserve">14. </w:t>
      </w:r>
    </w:p>
    <w:p w:rsidR="00705AB2" w:rsidRPr="00705AB2" w:rsidRDefault="00705AB2" w:rsidP="00705AB2">
      <w:pPr>
        <w:spacing w:before="100" w:beforeAutospacing="1" w:after="100" w:afterAutospacing="1" w:line="240" w:lineRule="auto"/>
        <w:rPr>
          <w:lang w:val="en-US"/>
        </w:rPr>
      </w:pPr>
      <w:r w:rsidRPr="00146D42">
        <w:rPr>
          <w:rFonts w:ascii="Tahoma" w:eastAsia="Times New Roman" w:hAnsi="Tahoma" w:cs="Tahoma"/>
          <w:sz w:val="20"/>
          <w:szCs w:val="20"/>
          <w:lang w:val="en-US"/>
        </w:rPr>
        <w:t xml:space="preserve">The full document on the CWP 2011, as well as the political priorities set out by President Barroso can be found under: </w:t>
      </w:r>
      <w:bookmarkStart w:id="0" w:name="_GoBack"/>
      <w:r w:rsidR="00623FCC">
        <w:fldChar w:fldCharType="begin"/>
      </w:r>
      <w:r w:rsidR="00623FCC">
        <w:instrText xml:space="preserve"> HYPERLINK "http://ec.europa.eu/atwork/programmes/index_en.htm" </w:instrText>
      </w:r>
      <w:r w:rsidR="00623FCC">
        <w:fldChar w:fldCharType="separate"/>
      </w:r>
      <w:r w:rsidRPr="00146D42">
        <w:rPr>
          <w:rStyle w:val="Hipervnculo"/>
          <w:rFonts w:ascii="Tahoma" w:hAnsi="Tahoma" w:cs="Tahoma"/>
          <w:sz w:val="20"/>
          <w:szCs w:val="20"/>
          <w:lang w:val="en-US"/>
        </w:rPr>
        <w:t>http://ec.europa.eu/atwork/programmes/index_en.htm</w:t>
      </w:r>
      <w:r w:rsidR="00623FCC">
        <w:rPr>
          <w:rStyle w:val="Hipervnculo"/>
          <w:rFonts w:ascii="Tahoma" w:hAnsi="Tahoma" w:cs="Tahoma"/>
          <w:sz w:val="20"/>
          <w:szCs w:val="20"/>
          <w:lang w:val="en-US"/>
        </w:rPr>
        <w:fldChar w:fldCharType="end"/>
      </w:r>
    </w:p>
    <w:p w:rsidR="00705AB2" w:rsidRPr="00705AB2" w:rsidRDefault="00705AB2" w:rsidP="00705AB2">
      <w:pPr>
        <w:spacing w:before="100" w:beforeAutospacing="1" w:after="100" w:afterAutospacing="1" w:line="240" w:lineRule="auto"/>
        <w:rPr>
          <w:lang w:val="en-US"/>
        </w:rPr>
      </w:pPr>
    </w:p>
    <w:bookmarkEnd w:id="0"/>
    <w:p w:rsidR="00705AB2" w:rsidRPr="00705AB2" w:rsidRDefault="00705AB2" w:rsidP="00705AB2">
      <w:pPr>
        <w:spacing w:before="100" w:beforeAutospacing="1" w:after="100" w:afterAutospacing="1" w:line="240" w:lineRule="auto"/>
        <w:rPr>
          <w:lang w:val="en-US"/>
        </w:rPr>
      </w:pPr>
    </w:p>
    <w:p w:rsidR="00705AB2" w:rsidRPr="00705AB2" w:rsidRDefault="00705AB2" w:rsidP="00705AB2">
      <w:pPr>
        <w:spacing w:before="100" w:beforeAutospacing="1" w:after="100" w:afterAutospacing="1" w:line="240" w:lineRule="auto"/>
        <w:rPr>
          <w:lang w:val="en-US"/>
        </w:rPr>
      </w:pPr>
    </w:p>
    <w:p w:rsidR="00705AB2" w:rsidRPr="00705AB2" w:rsidRDefault="00705AB2" w:rsidP="00705AB2">
      <w:pPr>
        <w:spacing w:before="100" w:beforeAutospacing="1" w:after="100" w:afterAutospacing="1" w:line="240" w:lineRule="auto"/>
        <w:rPr>
          <w:lang w:val="en-US"/>
        </w:rPr>
      </w:pPr>
    </w:p>
    <w:p w:rsidR="00705AB2" w:rsidRPr="00705AB2" w:rsidRDefault="00705AB2" w:rsidP="00705AB2">
      <w:pPr>
        <w:spacing w:before="100" w:beforeAutospacing="1" w:after="100" w:afterAutospacing="1" w:line="240" w:lineRule="auto"/>
        <w:rPr>
          <w:lang w:val="en-US"/>
        </w:rPr>
      </w:pPr>
    </w:p>
    <w:p w:rsidR="00705AB2" w:rsidRPr="00705AB2" w:rsidRDefault="00705AB2" w:rsidP="00705AB2">
      <w:pPr>
        <w:spacing w:before="100" w:beforeAutospacing="1" w:after="100" w:afterAutospacing="1" w:line="240" w:lineRule="auto"/>
        <w:rPr>
          <w:lang w:val="en-US"/>
        </w:rPr>
      </w:pPr>
    </w:p>
    <w:p w:rsidR="00705AB2" w:rsidRPr="00705AB2" w:rsidRDefault="00705AB2" w:rsidP="00705AB2">
      <w:pPr>
        <w:spacing w:before="100" w:beforeAutospacing="1" w:after="100" w:afterAutospacing="1" w:line="240" w:lineRule="auto"/>
        <w:rPr>
          <w:lang w:val="en-US"/>
        </w:rPr>
      </w:pPr>
    </w:p>
    <w:tbl>
      <w:tblPr>
        <w:tblW w:w="1539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890"/>
        <w:gridCol w:w="2880"/>
        <w:gridCol w:w="3600"/>
        <w:gridCol w:w="1800"/>
        <w:gridCol w:w="1136"/>
        <w:gridCol w:w="1294"/>
      </w:tblGrid>
      <w:tr w:rsidR="00705AB2" w:rsidRPr="003D72C1"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b/>
                <w:sz w:val="20"/>
                <w:szCs w:val="20"/>
              </w:rPr>
            </w:pPr>
            <w:r w:rsidRPr="00705AB2">
              <w:rPr>
                <w:rFonts w:ascii="Tahoma" w:hAnsi="Tahoma" w:cs="Tahoma"/>
                <w:b/>
                <w:sz w:val="20"/>
                <w:szCs w:val="20"/>
              </w:rPr>
              <w:t>Scheduled for adoption</w:t>
            </w: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r>
      <w:tr w:rsidR="00705AB2" w:rsidRPr="003D72C1"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 xml:space="preserve">Directive on energy efficiency and savings </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(legislative)</w:t>
            </w:r>
          </w:p>
          <w:p w:rsidR="00705AB2" w:rsidRPr="00705AB2" w:rsidRDefault="00705AB2" w:rsidP="00705AB2">
            <w:pPr>
              <w:tabs>
                <w:tab w:val="center" w:pos="4320"/>
                <w:tab w:val="right" w:pos="8640"/>
              </w:tabs>
              <w:rPr>
                <w:rFonts w:ascii="Tahoma" w:hAnsi="Tahoma" w:cs="Tahoma"/>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Energy</w:t>
            </w:r>
          </w:p>
        </w:tc>
        <w:tc>
          <w:tcPr>
            <w:tcW w:w="2880" w:type="dxa"/>
            <w:shd w:val="clear" w:color="auto" w:fill="EAF1DD" w:themeFill="accent3" w:themeFillTint="33"/>
          </w:tcPr>
          <w:p w:rsidR="00705AB2" w:rsidRPr="00705AB2" w:rsidRDefault="00705AB2" w:rsidP="00705AB2">
            <w:pPr>
              <w:pStyle w:val="Prrafodelista"/>
              <w:numPr>
                <w:ilvl w:val="0"/>
                <w:numId w:val="9"/>
              </w:numPr>
              <w:autoSpaceDE w:val="0"/>
              <w:autoSpaceDN w:val="0"/>
              <w:adjustRightInd w:val="0"/>
              <w:rPr>
                <w:rFonts w:ascii="Tahoma" w:hAnsi="Tahoma" w:cs="Tahoma"/>
                <w:sz w:val="20"/>
                <w:szCs w:val="20"/>
              </w:rPr>
            </w:pPr>
            <w:r w:rsidRPr="00705AB2">
              <w:rPr>
                <w:rFonts w:ascii="Tahoma" w:hAnsi="Tahoma" w:cs="Tahoma"/>
                <w:sz w:val="20"/>
                <w:szCs w:val="20"/>
              </w:rPr>
              <w:t>Follow up to the European Energy Efficiency Plan</w:t>
            </w:r>
          </w:p>
          <w:p w:rsidR="00705AB2" w:rsidRPr="00705AB2" w:rsidRDefault="00705AB2" w:rsidP="00705AB2">
            <w:pPr>
              <w:pStyle w:val="Prrafodelista"/>
              <w:numPr>
                <w:ilvl w:val="0"/>
                <w:numId w:val="9"/>
              </w:numPr>
              <w:autoSpaceDE w:val="0"/>
              <w:autoSpaceDN w:val="0"/>
              <w:adjustRightInd w:val="0"/>
              <w:rPr>
                <w:rFonts w:ascii="Tahoma" w:hAnsi="Tahoma" w:cs="Tahoma"/>
                <w:sz w:val="20"/>
                <w:szCs w:val="20"/>
              </w:rPr>
            </w:pPr>
            <w:r w:rsidRPr="00705AB2">
              <w:rPr>
                <w:rFonts w:ascii="Tahoma" w:hAnsi="Tahoma" w:cs="Tahoma"/>
                <w:sz w:val="20"/>
                <w:szCs w:val="20"/>
              </w:rPr>
              <w:t>will replace the Energy Services Directive 2006/32/EC</w:t>
            </w:r>
          </w:p>
        </w:tc>
        <w:tc>
          <w:tcPr>
            <w:tcW w:w="3600" w:type="dxa"/>
            <w:shd w:val="clear" w:color="auto" w:fill="EAF1DD" w:themeFill="accent3" w:themeFillTint="33"/>
          </w:tcPr>
          <w:p w:rsidR="00BB3024" w:rsidRDefault="00705AB2" w:rsidP="00BB3024">
            <w:pPr>
              <w:pStyle w:val="Prrafodelista"/>
              <w:numPr>
                <w:ilvl w:val="0"/>
                <w:numId w:val="9"/>
              </w:numPr>
              <w:tabs>
                <w:tab w:val="center" w:pos="4320"/>
                <w:tab w:val="right" w:pos="8640"/>
              </w:tabs>
              <w:autoSpaceDE w:val="0"/>
              <w:autoSpaceDN w:val="0"/>
              <w:adjustRightInd w:val="0"/>
              <w:rPr>
                <w:rFonts w:ascii="Tahoma" w:hAnsi="Tahoma" w:cs="Tahoma"/>
                <w:sz w:val="20"/>
                <w:szCs w:val="20"/>
              </w:rPr>
            </w:pPr>
            <w:r w:rsidRPr="00BB3024">
              <w:rPr>
                <w:rFonts w:ascii="Tahoma" w:hAnsi="Tahoma" w:cs="Tahoma"/>
                <w:sz w:val="20"/>
                <w:szCs w:val="20"/>
              </w:rPr>
              <w:t>Provision of an</w:t>
            </w:r>
            <w:r w:rsidR="00BB3024" w:rsidRPr="00BB3024">
              <w:rPr>
                <w:rFonts w:ascii="Tahoma" w:hAnsi="Tahoma" w:cs="Tahoma"/>
                <w:sz w:val="20"/>
                <w:szCs w:val="20"/>
              </w:rPr>
              <w:t xml:space="preserve"> </w:t>
            </w:r>
            <w:r w:rsidRPr="00BB3024">
              <w:rPr>
                <w:rFonts w:ascii="Tahoma" w:hAnsi="Tahoma" w:cs="Tahoma"/>
                <w:sz w:val="20"/>
                <w:szCs w:val="20"/>
              </w:rPr>
              <w:t xml:space="preserve">enhanced framework for energy efficiency and savings policies of Member States, including targets, role of National Energy Efficiency Action Plans, exemplary role of public sector, financing, consumer information. </w:t>
            </w:r>
          </w:p>
          <w:p w:rsidR="00BB3024" w:rsidRDefault="00BB3024" w:rsidP="00BB3024">
            <w:pPr>
              <w:pStyle w:val="Prrafodelista"/>
              <w:numPr>
                <w:ilvl w:val="0"/>
                <w:numId w:val="9"/>
              </w:numPr>
              <w:tabs>
                <w:tab w:val="center" w:pos="4320"/>
                <w:tab w:val="right" w:pos="8640"/>
              </w:tabs>
              <w:autoSpaceDE w:val="0"/>
              <w:autoSpaceDN w:val="0"/>
              <w:adjustRightInd w:val="0"/>
              <w:rPr>
                <w:rFonts w:ascii="Tahoma" w:hAnsi="Tahoma" w:cs="Tahoma"/>
                <w:sz w:val="20"/>
                <w:szCs w:val="20"/>
              </w:rPr>
            </w:pPr>
            <w:r>
              <w:rPr>
                <w:rFonts w:ascii="Tahoma" w:hAnsi="Tahoma" w:cs="Tahoma"/>
                <w:sz w:val="20"/>
                <w:szCs w:val="20"/>
              </w:rPr>
              <w:t>Definition of</w:t>
            </w:r>
            <w:r w:rsidR="00705AB2" w:rsidRPr="00BB3024">
              <w:rPr>
                <w:rFonts w:ascii="Tahoma" w:hAnsi="Tahoma" w:cs="Tahoma"/>
                <w:sz w:val="20"/>
                <w:szCs w:val="20"/>
              </w:rPr>
              <w:t xml:space="preserve"> instruments to develop the energy services market and the roles of energy companies in promoting energy savings throughout the energy supply chain. </w:t>
            </w:r>
          </w:p>
          <w:p w:rsidR="00705AB2" w:rsidRPr="00BB3024" w:rsidRDefault="00BB3024" w:rsidP="00705AB2">
            <w:pPr>
              <w:pStyle w:val="Prrafodelista"/>
              <w:numPr>
                <w:ilvl w:val="0"/>
                <w:numId w:val="9"/>
              </w:numPr>
              <w:tabs>
                <w:tab w:val="center" w:pos="4320"/>
                <w:tab w:val="right" w:pos="8640"/>
              </w:tabs>
              <w:autoSpaceDE w:val="0"/>
              <w:autoSpaceDN w:val="0"/>
              <w:adjustRightInd w:val="0"/>
              <w:rPr>
                <w:rFonts w:ascii="Tahoma" w:hAnsi="Tahoma" w:cs="Tahoma"/>
                <w:sz w:val="20"/>
                <w:szCs w:val="20"/>
              </w:rPr>
            </w:pPr>
            <w:r>
              <w:rPr>
                <w:rFonts w:ascii="Tahoma" w:hAnsi="Tahoma" w:cs="Tahoma"/>
                <w:sz w:val="20"/>
                <w:szCs w:val="20"/>
              </w:rPr>
              <w:t>Setting of</w:t>
            </w:r>
            <w:r w:rsidR="00705AB2" w:rsidRPr="00BB3024">
              <w:rPr>
                <w:rFonts w:ascii="Tahoma" w:hAnsi="Tahoma" w:cs="Tahoma"/>
                <w:sz w:val="20"/>
                <w:szCs w:val="20"/>
              </w:rPr>
              <w:t xml:space="preserve"> framework conditions for increased </w:t>
            </w:r>
            <w:r w:rsidRPr="00BB3024">
              <w:rPr>
                <w:rFonts w:ascii="Tahoma" w:hAnsi="Tahoma" w:cs="Tahoma"/>
                <w:sz w:val="20"/>
                <w:szCs w:val="20"/>
              </w:rPr>
              <w:t>g</w:t>
            </w:r>
            <w:r w:rsidR="00705AB2" w:rsidRPr="00BB3024">
              <w:rPr>
                <w:rFonts w:ascii="Tahoma" w:hAnsi="Tahoma" w:cs="Tahoma"/>
                <w:sz w:val="20"/>
                <w:szCs w:val="20"/>
              </w:rPr>
              <w:t xml:space="preserve">eneration, transmission and distribution efficiency, including strengthened measures for the promotion of cogeneration and district heating &amp; cooling. </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3</w:t>
            </w:r>
            <w:r w:rsidRPr="00705AB2">
              <w:rPr>
                <w:rFonts w:ascii="Tahoma" w:hAnsi="Tahoma" w:cs="Tahoma"/>
                <w:color w:val="000000"/>
                <w:sz w:val="20"/>
                <w:szCs w:val="20"/>
                <w:vertAlign w:val="superscript"/>
              </w:rPr>
              <w:t>rd</w:t>
            </w:r>
            <w:r w:rsidRPr="00705AB2">
              <w:rPr>
                <w:rFonts w:ascii="Tahoma" w:hAnsi="Tahoma" w:cs="Tahoma"/>
                <w:color w:val="000000"/>
                <w:sz w:val="20"/>
                <w:szCs w:val="20"/>
              </w:rPr>
              <w:t xml:space="preserve"> quarter 2011</w:t>
            </w:r>
          </w:p>
        </w:tc>
      </w:tr>
      <w:tr w:rsidR="00705AB2" w:rsidRPr="003D72C1"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Low carbon economy 2050 roadmap</w:t>
            </w:r>
          </w:p>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(non-legislative)</w:t>
            </w: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Climate Action</w:t>
            </w:r>
          </w:p>
        </w:tc>
        <w:tc>
          <w:tcPr>
            <w:tcW w:w="288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Contributes to the initiative "Resource efficient Europe" of the Europe 2020 strategy.</w:t>
            </w:r>
          </w:p>
        </w:tc>
        <w:tc>
          <w:tcPr>
            <w:tcW w:w="3600" w:type="dxa"/>
            <w:shd w:val="clear" w:color="auto" w:fill="EAF1DD" w:themeFill="accent3" w:themeFillTint="33"/>
          </w:tcPr>
          <w:p w:rsidR="00705AB2" w:rsidRPr="00705AB2"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Communication analyses the temporal pathway for the transition to a low carbon</w:t>
            </w:r>
            <w:r w:rsidR="00BB3024">
              <w:rPr>
                <w:rFonts w:ascii="Tahoma" w:hAnsi="Tahoma" w:cs="Tahoma"/>
                <w:sz w:val="20"/>
                <w:szCs w:val="20"/>
                <w:lang w:val="en-US"/>
              </w:rPr>
              <w:t xml:space="preserve"> </w:t>
            </w:r>
            <w:r w:rsidRPr="00705AB2">
              <w:rPr>
                <w:rFonts w:ascii="Tahoma" w:hAnsi="Tahoma" w:cs="Tahoma"/>
                <w:sz w:val="20"/>
                <w:szCs w:val="20"/>
                <w:lang w:val="en-US"/>
              </w:rPr>
              <w:t xml:space="preserve">economy for the EU by 2050, including milestones by 2030, with a view of making EU energy </w:t>
            </w:r>
            <w:r w:rsidRPr="00705AB2">
              <w:rPr>
                <w:rFonts w:ascii="Tahoma" w:hAnsi="Tahoma" w:cs="Tahoma"/>
                <w:sz w:val="20"/>
                <w:szCs w:val="20"/>
                <w:lang w:val="en-US"/>
              </w:rPr>
              <w:lastRenderedPageBreak/>
              <w:t>secure and promoting sustainable growth and jobs, while ensuring that the proposed measures are most cost-efficient and do not bring negative distributional consequences.</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1</w:t>
            </w:r>
            <w:r w:rsidRPr="00705AB2">
              <w:rPr>
                <w:rFonts w:ascii="Tahoma" w:hAnsi="Tahoma" w:cs="Tahoma"/>
                <w:color w:val="000000"/>
                <w:sz w:val="20"/>
                <w:szCs w:val="20"/>
                <w:vertAlign w:val="superscript"/>
              </w:rPr>
              <w:t>st</w:t>
            </w:r>
            <w:r w:rsidRPr="00705AB2">
              <w:rPr>
                <w:rFonts w:ascii="Tahoma" w:hAnsi="Tahoma" w:cs="Tahoma"/>
                <w:color w:val="000000"/>
                <w:sz w:val="20"/>
                <w:szCs w:val="20"/>
              </w:rPr>
              <w:t xml:space="preserve"> quarter 2011</w:t>
            </w:r>
          </w:p>
        </w:tc>
      </w:tr>
      <w:tr w:rsidR="00705AB2" w:rsidRPr="003D72C1"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Roadmap to a resource efficient Europe</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(non-legislative)</w:t>
            </w:r>
          </w:p>
          <w:p w:rsidR="00705AB2" w:rsidRPr="00705AB2" w:rsidRDefault="00705AB2" w:rsidP="00705AB2">
            <w:pPr>
              <w:tabs>
                <w:tab w:val="center" w:pos="4320"/>
                <w:tab w:val="right" w:pos="8640"/>
              </w:tabs>
              <w:rPr>
                <w:rFonts w:ascii="Tahoma" w:hAnsi="Tahoma" w:cs="Tahoma"/>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EAF1DD" w:themeFill="accent3" w:themeFillTint="33"/>
          </w:tcPr>
          <w:p w:rsidR="00705AB2" w:rsidRPr="00705AB2"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Roadmap is part of the Resource Efficient Europe initiative - building on and complementing</w:t>
            </w:r>
            <w:r w:rsidR="00BB3024">
              <w:rPr>
                <w:rFonts w:ascii="Tahoma" w:hAnsi="Tahoma" w:cs="Tahoma"/>
                <w:sz w:val="20"/>
                <w:szCs w:val="20"/>
                <w:lang w:val="en-US"/>
              </w:rPr>
              <w:t xml:space="preserve"> </w:t>
            </w:r>
            <w:r w:rsidRPr="00705AB2">
              <w:rPr>
                <w:rFonts w:ascii="Tahoma" w:hAnsi="Tahoma" w:cs="Tahoma"/>
                <w:sz w:val="20"/>
                <w:szCs w:val="20"/>
                <w:lang w:val="en-US"/>
              </w:rPr>
              <w:t>the other proposals.</w:t>
            </w:r>
          </w:p>
        </w:tc>
        <w:tc>
          <w:tcPr>
            <w:tcW w:w="3600" w:type="dxa"/>
            <w:shd w:val="clear" w:color="auto" w:fill="EAF1DD" w:themeFill="accent3" w:themeFillTint="33"/>
          </w:tcPr>
          <w:p w:rsidR="00EF4457" w:rsidRDefault="00705AB2" w:rsidP="00EF4457">
            <w:pPr>
              <w:pStyle w:val="Prrafodelista"/>
              <w:numPr>
                <w:ilvl w:val="0"/>
                <w:numId w:val="11"/>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 xml:space="preserve">The Roadmap will set out a coherent framework of policies and actions in a variety of policy areas, required for the shift towards a resource efficient economy. </w:t>
            </w:r>
          </w:p>
          <w:p w:rsidR="00705AB2" w:rsidRPr="00EF4457" w:rsidRDefault="00705AB2" w:rsidP="00EF4457">
            <w:pPr>
              <w:pStyle w:val="Prrafodelista"/>
              <w:numPr>
                <w:ilvl w:val="0"/>
                <w:numId w:val="11"/>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 xml:space="preserve">The aim is to increase resource productivity and decouple economic growth from resource use and resource use from its </w:t>
            </w:r>
            <w:r w:rsidR="00BB3024" w:rsidRPr="00EF4457">
              <w:rPr>
                <w:rFonts w:ascii="Tahoma" w:hAnsi="Tahoma" w:cs="Tahoma"/>
                <w:sz w:val="20"/>
                <w:szCs w:val="20"/>
              </w:rPr>
              <w:t>e</w:t>
            </w:r>
            <w:r w:rsidRPr="00EF4457">
              <w:rPr>
                <w:rFonts w:ascii="Tahoma" w:hAnsi="Tahoma" w:cs="Tahoma"/>
                <w:sz w:val="20"/>
                <w:szCs w:val="20"/>
              </w:rPr>
              <w:t>nvironmental impact, enhance competitiveness and promote security of supply and resource independence of the EU.</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w:t>
            </w:r>
            <w:r w:rsidRPr="00705AB2">
              <w:rPr>
                <w:rFonts w:ascii="Tahoma" w:hAnsi="Tahoma" w:cs="Tahoma"/>
                <w:color w:val="000000"/>
                <w:sz w:val="20"/>
                <w:szCs w:val="20"/>
                <w:vertAlign w:val="superscript"/>
              </w:rPr>
              <w:t>nd</w:t>
            </w:r>
            <w:r w:rsidRPr="00705AB2">
              <w:rPr>
                <w:rFonts w:ascii="Tahoma" w:hAnsi="Tahoma" w:cs="Tahoma"/>
                <w:color w:val="000000"/>
                <w:sz w:val="20"/>
                <w:szCs w:val="20"/>
              </w:rPr>
              <w:t xml:space="preserve"> quarter 2011</w:t>
            </w: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b/>
                <w:color w:val="000000"/>
                <w:sz w:val="20"/>
                <w:szCs w:val="20"/>
                <w:lang w:val="en-US"/>
              </w:rPr>
            </w:pPr>
            <w:r w:rsidRPr="00705AB2">
              <w:rPr>
                <w:rFonts w:ascii="Tahoma" w:hAnsi="Tahoma" w:cs="Tahoma"/>
                <w:b/>
                <w:color w:val="000000"/>
                <w:sz w:val="20"/>
                <w:szCs w:val="20"/>
                <w:lang w:val="en-US"/>
              </w:rPr>
              <w:t>Indicative list of possible initiatives under consideration in 2011</w:t>
            </w:r>
          </w:p>
          <w:p w:rsidR="00705AB2" w:rsidRPr="00705AB2" w:rsidRDefault="00705AB2" w:rsidP="00705AB2">
            <w:pPr>
              <w:tabs>
                <w:tab w:val="center" w:pos="4320"/>
                <w:tab w:val="right" w:pos="8640"/>
              </w:tabs>
              <w:rPr>
                <w:rFonts w:ascii="Tahoma" w:hAnsi="Tahoma" w:cs="Tahoma"/>
                <w:sz w:val="20"/>
                <w:szCs w:val="20"/>
                <w:lang w:val="en-US"/>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36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Guidelines on certain State aid measures in the context of the Greenhouse gas emission allowance trading scheme</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lastRenderedPageBreak/>
              <w:t>(non-legislative)</w:t>
            </w:r>
          </w:p>
          <w:p w:rsidR="00705AB2" w:rsidRPr="00705AB2" w:rsidRDefault="00705AB2" w:rsidP="00705AB2">
            <w:pPr>
              <w:tabs>
                <w:tab w:val="center" w:pos="4320"/>
                <w:tab w:val="right" w:pos="8640"/>
              </w:tabs>
              <w:rPr>
                <w:rFonts w:ascii="Tahoma" w:hAnsi="Tahoma" w:cs="Tahoma"/>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lastRenderedPageBreak/>
              <w:t>DG Competition</w:t>
            </w: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Emission Trading System</w:t>
            </w:r>
          </w:p>
        </w:tc>
        <w:tc>
          <w:tcPr>
            <w:tcW w:w="36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Guidelines will have to be adopted to establish rules for the treatment of aid connected to the Emission Trading System.</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Review of the list of priority substances under the Water framework directive</w:t>
            </w:r>
          </w:p>
          <w:p w:rsidR="00705AB2" w:rsidRPr="00BB3024"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(legislative)</w:t>
            </w: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substances are part of the basis of the EU strategy to combat chemical pollution in EU waters.</w:t>
            </w:r>
          </w:p>
        </w:tc>
        <w:tc>
          <w:tcPr>
            <w:tcW w:w="360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The Water Framework Directive requires the Commission to review the list of priority substances every 4 years. </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Communication on implementing EU environmental law and policy: a common challenge</w:t>
            </w:r>
          </w:p>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(non-legislative)</w:t>
            </w: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communication will address the shortcomings in implementing environmental legislation and propose a strategic way forward as well as exploring a number of practical avenues to improve the current gaps in implementation of the EU acquis.</w:t>
            </w:r>
          </w:p>
          <w:p w:rsidR="00705AB2" w:rsidRPr="00705AB2" w:rsidRDefault="00705AB2" w:rsidP="00705AB2">
            <w:pPr>
              <w:tabs>
                <w:tab w:val="center" w:pos="4320"/>
                <w:tab w:val="right" w:pos="8640"/>
              </w:tabs>
              <w:rPr>
                <w:rFonts w:ascii="Tahoma" w:hAnsi="Tahoma" w:cs="Tahoma"/>
                <w:sz w:val="20"/>
                <w:szCs w:val="20"/>
                <w:lang w:val="en-US"/>
              </w:rPr>
            </w:pPr>
          </w:p>
        </w:tc>
        <w:tc>
          <w:tcPr>
            <w:tcW w:w="1800" w:type="dxa"/>
            <w:shd w:val="clear" w:color="auto" w:fill="EAF1DD" w:themeFill="accent3" w:themeFillTint="33"/>
          </w:tcPr>
          <w:p w:rsidR="00BB3024"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Issues to be addressed: </w:t>
            </w:r>
          </w:p>
          <w:p w:rsidR="00705AB2" w:rsidRPr="00705AB2" w:rsidRDefault="00734597" w:rsidP="00705AB2">
            <w:pPr>
              <w:tabs>
                <w:tab w:val="center" w:pos="4320"/>
                <w:tab w:val="right" w:pos="8640"/>
              </w:tabs>
              <w:autoSpaceDE w:val="0"/>
              <w:autoSpaceDN w:val="0"/>
              <w:adjustRightInd w:val="0"/>
              <w:rPr>
                <w:rFonts w:ascii="Tahoma" w:hAnsi="Tahoma" w:cs="Tahoma"/>
                <w:sz w:val="20"/>
                <w:szCs w:val="20"/>
                <w:lang w:val="en-US"/>
              </w:rPr>
            </w:pPr>
            <w:r>
              <w:rPr>
                <w:rFonts w:ascii="Tahoma" w:hAnsi="Tahoma" w:cs="Tahoma"/>
                <w:sz w:val="20"/>
                <w:szCs w:val="20"/>
                <w:lang w:val="en-US"/>
              </w:rPr>
              <w:t>-</w:t>
            </w:r>
            <w:r w:rsidR="00705AB2" w:rsidRPr="00705AB2">
              <w:rPr>
                <w:rFonts w:ascii="Tahoma" w:hAnsi="Tahoma" w:cs="Tahoma"/>
                <w:sz w:val="20"/>
                <w:szCs w:val="20"/>
                <w:lang w:val="en-US"/>
              </w:rPr>
              <w:t>improving the coherence of legislation,</w:t>
            </w:r>
            <w:r w:rsidR="00BB3024">
              <w:rPr>
                <w:rFonts w:ascii="Tahoma" w:hAnsi="Tahoma" w:cs="Tahoma"/>
                <w:sz w:val="20"/>
                <w:szCs w:val="20"/>
                <w:lang w:val="en-US"/>
              </w:rPr>
              <w:t xml:space="preserve"> enhancing compliance promotion</w:t>
            </w:r>
          </w:p>
          <w:p w:rsidR="00BB3024" w:rsidRDefault="00BB3024" w:rsidP="00705AB2">
            <w:pPr>
              <w:tabs>
                <w:tab w:val="center" w:pos="4320"/>
                <w:tab w:val="right" w:pos="8640"/>
              </w:tabs>
              <w:autoSpaceDE w:val="0"/>
              <w:autoSpaceDN w:val="0"/>
              <w:adjustRightInd w:val="0"/>
              <w:rPr>
                <w:rFonts w:ascii="Tahoma" w:hAnsi="Tahoma" w:cs="Tahoma"/>
                <w:sz w:val="20"/>
                <w:szCs w:val="20"/>
                <w:lang w:val="en-US"/>
              </w:rPr>
            </w:pPr>
            <w:r>
              <w:rPr>
                <w:rFonts w:ascii="Tahoma" w:hAnsi="Tahoma" w:cs="Tahoma"/>
                <w:sz w:val="20"/>
                <w:szCs w:val="20"/>
                <w:lang w:val="en-US"/>
              </w:rPr>
              <w:t xml:space="preserve">- </w:t>
            </w:r>
            <w:r w:rsidR="00705AB2" w:rsidRPr="00705AB2">
              <w:rPr>
                <w:rFonts w:ascii="Tahoma" w:hAnsi="Tahoma" w:cs="Tahoma"/>
                <w:sz w:val="20"/>
                <w:szCs w:val="20"/>
                <w:lang w:val="en-US"/>
              </w:rPr>
              <w:t>strengthening the e</w:t>
            </w:r>
            <w:r>
              <w:rPr>
                <w:rFonts w:ascii="Tahoma" w:hAnsi="Tahoma" w:cs="Tahoma"/>
                <w:sz w:val="20"/>
                <w:szCs w:val="20"/>
                <w:lang w:val="en-US"/>
              </w:rPr>
              <w:t xml:space="preserve">ffectiveness of inspections </w:t>
            </w:r>
          </w:p>
          <w:p w:rsidR="00705AB2" w:rsidRPr="00705AB2" w:rsidRDefault="00BB3024" w:rsidP="00705AB2">
            <w:pPr>
              <w:tabs>
                <w:tab w:val="center" w:pos="4320"/>
                <w:tab w:val="right" w:pos="8640"/>
              </w:tabs>
              <w:autoSpaceDE w:val="0"/>
              <w:autoSpaceDN w:val="0"/>
              <w:adjustRightInd w:val="0"/>
              <w:rPr>
                <w:rFonts w:ascii="Tahoma" w:hAnsi="Tahoma" w:cs="Tahoma"/>
                <w:sz w:val="20"/>
                <w:szCs w:val="20"/>
                <w:lang w:val="en-US"/>
              </w:rPr>
            </w:pPr>
            <w:r>
              <w:rPr>
                <w:rFonts w:ascii="Tahoma" w:hAnsi="Tahoma" w:cs="Tahoma"/>
                <w:sz w:val="20"/>
                <w:szCs w:val="20"/>
                <w:lang w:val="en-US"/>
              </w:rPr>
              <w:t>-</w:t>
            </w:r>
            <w:r w:rsidR="00705AB2" w:rsidRPr="00705AB2">
              <w:rPr>
                <w:rFonts w:ascii="Tahoma" w:hAnsi="Tahoma" w:cs="Tahoma"/>
                <w:sz w:val="20"/>
                <w:szCs w:val="20"/>
                <w:lang w:val="en-US"/>
              </w:rPr>
              <w:t>enhancing the role of national judges in supporting the implementation of EU legislation.</w:t>
            </w: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622008"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 xml:space="preserve">Review of directive 2001/95/EC on general </w:t>
            </w:r>
            <w:r w:rsidRPr="00705AB2">
              <w:rPr>
                <w:rFonts w:ascii="Tahoma" w:hAnsi="Tahoma" w:cs="Tahoma"/>
                <w:color w:val="000000"/>
                <w:sz w:val="20"/>
                <w:szCs w:val="20"/>
                <w:lang w:val="en-US"/>
              </w:rPr>
              <w:lastRenderedPageBreak/>
              <w:t>product safety</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lastRenderedPageBreak/>
              <w:t>DG Health and Consumers</w:t>
            </w:r>
          </w:p>
        </w:tc>
        <w:tc>
          <w:tcPr>
            <w:tcW w:w="288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The Commission report (2009) on the implementation of the General Product Safety </w:t>
            </w:r>
            <w:r w:rsidRPr="00705AB2">
              <w:rPr>
                <w:rFonts w:ascii="Tahoma" w:hAnsi="Tahoma" w:cs="Tahoma"/>
                <w:sz w:val="20"/>
                <w:szCs w:val="20"/>
                <w:lang w:val="en-US"/>
              </w:rPr>
              <w:lastRenderedPageBreak/>
              <w:t>Directive identified areas for improvement of the Directive.</w:t>
            </w:r>
          </w:p>
        </w:tc>
        <w:tc>
          <w:tcPr>
            <w:tcW w:w="360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lastRenderedPageBreak/>
              <w:t xml:space="preserve">Main drivers are: Experience with handling recurrent product safety alerts, the complexity of establishing </w:t>
            </w:r>
            <w:r w:rsidRPr="00705AB2">
              <w:rPr>
                <w:rFonts w:ascii="Tahoma" w:hAnsi="Tahoma" w:cs="Tahoma"/>
                <w:sz w:val="20"/>
                <w:szCs w:val="20"/>
                <w:lang w:val="en-US"/>
              </w:rPr>
              <w:lastRenderedPageBreak/>
              <w:t>useful safety benchmark</w:t>
            </w:r>
            <w:r w:rsidR="00D03E2F">
              <w:rPr>
                <w:rFonts w:ascii="Tahoma" w:hAnsi="Tahoma" w:cs="Tahoma"/>
                <w:sz w:val="20"/>
                <w:szCs w:val="20"/>
                <w:lang w:val="en-US"/>
              </w:rPr>
              <w:t>s, the globalisation challenges.</w:t>
            </w:r>
            <w:r w:rsidRPr="00705AB2">
              <w:rPr>
                <w:rFonts w:ascii="Tahoma" w:hAnsi="Tahoma" w:cs="Tahoma"/>
                <w:sz w:val="20"/>
                <w:szCs w:val="20"/>
                <w:lang w:val="en-US"/>
              </w:rPr>
              <w:t xml:space="preserve"> An internal market of safe goods for consumers needs simpler, clearer rules for more effective enforcement. Better coordination of action by Member State authorities is key to improvements. </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622008"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Communication on consumer policy strategy (2014-2020)</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(non-legislative)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Health and Consumers</w:t>
            </w: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Follow up programme to the current Consumer Policy Strategy which covers the period 2007-2013.</w:t>
            </w:r>
          </w:p>
        </w:tc>
        <w:tc>
          <w:tcPr>
            <w:tcW w:w="36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BB3024"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new Strategy (2014-2020)  sho</w:t>
            </w:r>
            <w:r w:rsidR="00BB3024">
              <w:rPr>
                <w:rFonts w:ascii="Tahoma" w:hAnsi="Tahoma" w:cs="Tahoma"/>
                <w:sz w:val="20"/>
                <w:szCs w:val="20"/>
                <w:lang w:val="en-US"/>
              </w:rPr>
              <w:t>uld be done</w:t>
            </w:r>
            <w:r w:rsidRPr="00705AB2">
              <w:rPr>
                <w:rFonts w:ascii="Tahoma" w:hAnsi="Tahoma" w:cs="Tahoma"/>
                <w:sz w:val="20"/>
                <w:szCs w:val="20"/>
                <w:lang w:val="en-US"/>
              </w:rPr>
              <w:t xml:space="preserve"> early  to allow the necessary time to develop the associated</w:t>
            </w:r>
            <w:r w:rsidR="00BB3024">
              <w:rPr>
                <w:rFonts w:ascii="Tahoma" w:hAnsi="Tahoma" w:cs="Tahoma"/>
                <w:sz w:val="20"/>
                <w:szCs w:val="20"/>
                <w:lang w:val="en-US"/>
              </w:rPr>
              <w:t xml:space="preserve"> </w:t>
            </w:r>
            <w:r w:rsidRPr="00BB3024">
              <w:rPr>
                <w:rFonts w:ascii="Tahoma" w:hAnsi="Tahoma" w:cs="Tahoma"/>
                <w:sz w:val="20"/>
                <w:szCs w:val="20"/>
                <w:lang w:val="en-US"/>
              </w:rPr>
              <w:t>Programme.</w:t>
            </w:r>
          </w:p>
        </w:tc>
        <w:tc>
          <w:tcPr>
            <w:tcW w:w="1294" w:type="dxa"/>
            <w:shd w:val="clear" w:color="auto" w:fill="EAF1DD" w:themeFill="accent3" w:themeFillTint="33"/>
          </w:tcPr>
          <w:p w:rsidR="00705AB2" w:rsidRPr="00BB3024"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Communication on the strategy for the Sustainable Competitiveness of the EU Construction sector</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(non-legislative)</w:t>
            </w: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Industry and Entrepreneurship</w:t>
            </w: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Communication</w:t>
            </w:r>
            <w:r w:rsidR="00BB3024">
              <w:rPr>
                <w:rFonts w:ascii="Tahoma" w:hAnsi="Tahoma" w:cs="Tahoma"/>
                <w:sz w:val="20"/>
                <w:szCs w:val="20"/>
                <w:lang w:val="en-US"/>
              </w:rPr>
              <w:t xml:space="preserve"> </w:t>
            </w:r>
            <w:r w:rsidRPr="00705AB2">
              <w:rPr>
                <w:rFonts w:ascii="Tahoma" w:hAnsi="Tahoma" w:cs="Tahoma"/>
                <w:sz w:val="20"/>
                <w:szCs w:val="20"/>
                <w:lang w:val="en-US"/>
              </w:rPr>
              <w:t>will define a strategy for strengthening the competitiveness of the European construction sector whilst meeting current and future societal challenges until year 2020.</w:t>
            </w:r>
          </w:p>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lastRenderedPageBreak/>
              <w:t xml:space="preserve">It will present a set of priority actions to be undertaken by the key sector operators (EU-level, Member States authorities, industry) allowing tangible steps to be taken towards meeting the foreseen objectives. </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Modernisation of the EU Public procurement legislative framework</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DG Internal Market and Services</w:t>
            </w:r>
          </w:p>
        </w:tc>
        <w:tc>
          <w:tcPr>
            <w:tcW w:w="288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Modernisation of Directives 2004/17/EC and 2004/18/EC</w:t>
            </w:r>
          </w:p>
        </w:tc>
        <w:tc>
          <w:tcPr>
            <w:tcW w:w="3600" w:type="dxa"/>
            <w:shd w:val="clear" w:color="auto" w:fill="EAF1DD" w:themeFill="accent3" w:themeFillTint="33"/>
          </w:tcPr>
          <w:p w:rsidR="00D03E2F" w:rsidRPr="00EF4457" w:rsidRDefault="00705AB2" w:rsidP="00EF4457">
            <w:pPr>
              <w:pStyle w:val="Prrafodelista"/>
              <w:numPr>
                <w:ilvl w:val="0"/>
                <w:numId w:val="13"/>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aim</w:t>
            </w:r>
            <w:r w:rsidR="00D03E2F" w:rsidRPr="00EF4457">
              <w:rPr>
                <w:rFonts w:ascii="Tahoma" w:hAnsi="Tahoma" w:cs="Tahoma"/>
                <w:sz w:val="20"/>
                <w:szCs w:val="20"/>
              </w:rPr>
              <w:t>s</w:t>
            </w:r>
            <w:r w:rsidRPr="00EF4457">
              <w:rPr>
                <w:rFonts w:ascii="Tahoma" w:hAnsi="Tahoma" w:cs="Tahoma"/>
                <w:sz w:val="20"/>
                <w:szCs w:val="20"/>
              </w:rPr>
              <w:t xml:space="preserve"> at modernising and simplifying the existing E</w:t>
            </w:r>
            <w:r w:rsidR="00D03E2F" w:rsidRPr="00EF4457">
              <w:rPr>
                <w:rFonts w:ascii="Tahoma" w:hAnsi="Tahoma" w:cs="Tahoma"/>
                <w:sz w:val="20"/>
                <w:szCs w:val="20"/>
              </w:rPr>
              <w:t>U public procurement framework</w:t>
            </w:r>
          </w:p>
          <w:p w:rsidR="00D03E2F" w:rsidRDefault="00D03E2F" w:rsidP="00D03E2F">
            <w:pPr>
              <w:pStyle w:val="Prrafodelista"/>
              <w:tabs>
                <w:tab w:val="center" w:pos="4320"/>
                <w:tab w:val="right" w:pos="8640"/>
              </w:tabs>
              <w:autoSpaceDE w:val="0"/>
              <w:autoSpaceDN w:val="0"/>
              <w:adjustRightInd w:val="0"/>
              <w:rPr>
                <w:rFonts w:ascii="Tahoma" w:hAnsi="Tahoma" w:cs="Tahoma"/>
                <w:sz w:val="20"/>
                <w:szCs w:val="20"/>
              </w:rPr>
            </w:pPr>
          </w:p>
          <w:p w:rsidR="00705AB2" w:rsidRPr="00EF4457" w:rsidRDefault="00705AB2" w:rsidP="00EF4457">
            <w:pPr>
              <w:pStyle w:val="Prrafodelista"/>
              <w:numPr>
                <w:ilvl w:val="0"/>
                <w:numId w:val="12"/>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seek</w:t>
            </w:r>
            <w:r w:rsidR="00D03E2F" w:rsidRPr="00EF4457">
              <w:rPr>
                <w:rFonts w:ascii="Tahoma" w:hAnsi="Tahoma" w:cs="Tahoma"/>
                <w:sz w:val="20"/>
                <w:szCs w:val="20"/>
              </w:rPr>
              <w:t>s</w:t>
            </w:r>
            <w:r w:rsidRPr="00EF4457">
              <w:rPr>
                <w:rFonts w:ascii="Tahoma" w:hAnsi="Tahoma" w:cs="Tahoma"/>
                <w:sz w:val="20"/>
                <w:szCs w:val="20"/>
              </w:rPr>
              <w:t xml:space="preserve"> to ensure that the EU procurement framework is optimised, in line with smart regulation principles, so that it provides the best possible procurement outcomes with the least possible transaction costs and administrative burdens.</w:t>
            </w:r>
          </w:p>
        </w:tc>
        <w:tc>
          <w:tcPr>
            <w:tcW w:w="1800" w:type="dxa"/>
            <w:shd w:val="clear" w:color="auto" w:fill="EAF1DD" w:themeFill="accent3" w:themeFillTint="33"/>
          </w:tcPr>
          <w:p w:rsidR="00705AB2" w:rsidRPr="00705AB2"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Issues such as</w:t>
            </w:r>
            <w:r w:rsidR="00BB3024">
              <w:rPr>
                <w:rFonts w:ascii="Tahoma" w:hAnsi="Tahoma" w:cs="Tahoma"/>
                <w:sz w:val="20"/>
                <w:szCs w:val="20"/>
                <w:lang w:val="en-US"/>
              </w:rPr>
              <w:t xml:space="preserve"> </w:t>
            </w:r>
            <w:r w:rsidRPr="00705AB2">
              <w:rPr>
                <w:rFonts w:ascii="Tahoma" w:hAnsi="Tahoma" w:cs="Tahoma"/>
                <w:sz w:val="20"/>
                <w:szCs w:val="20"/>
                <w:lang w:val="en-US"/>
              </w:rPr>
              <w:t>the simplification of the procurement procedures, the updating of e-procurement provisions, public-public cooperation,</w:t>
            </w:r>
            <w:r w:rsidR="00BB3024">
              <w:rPr>
                <w:rFonts w:ascii="Tahoma" w:hAnsi="Tahoma" w:cs="Tahoma"/>
                <w:sz w:val="20"/>
                <w:szCs w:val="20"/>
                <w:lang w:val="en-US"/>
              </w:rPr>
              <w:t xml:space="preserve"> </w:t>
            </w:r>
            <w:r w:rsidRPr="00705AB2">
              <w:rPr>
                <w:rFonts w:ascii="Tahoma" w:hAnsi="Tahoma" w:cs="Tahoma"/>
                <w:sz w:val="20"/>
                <w:szCs w:val="20"/>
                <w:lang w:val="en-US"/>
              </w:rPr>
              <w:t>the possible use of public procurement to achieve other policy objectives will be, inter alia, addressed.</w:t>
            </w: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European Strategy and Action plan towards a sustainable bio-based economy by 2020</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(non-legislative)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lastRenderedPageBreak/>
              <w:t>DG Research and Innovation</w:t>
            </w: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The Communication will provide a vision and action plan for a </w:t>
            </w:r>
            <w:r w:rsidR="00BB3024">
              <w:rPr>
                <w:rFonts w:ascii="Tahoma" w:hAnsi="Tahoma" w:cs="Tahoma"/>
                <w:sz w:val="20"/>
                <w:szCs w:val="20"/>
                <w:lang w:val="en-US"/>
              </w:rPr>
              <w:t>s</w:t>
            </w:r>
            <w:r w:rsidRPr="00705AB2">
              <w:rPr>
                <w:rFonts w:ascii="Tahoma" w:hAnsi="Tahoma" w:cs="Tahoma"/>
                <w:sz w:val="20"/>
                <w:szCs w:val="20"/>
                <w:lang w:val="en-US"/>
              </w:rPr>
              <w:t>ustainable and innovative European Bio economy by 2020.</w:t>
            </w:r>
          </w:p>
          <w:p w:rsidR="00705AB2" w:rsidRPr="00705AB2" w:rsidRDefault="00705AB2" w:rsidP="00705AB2">
            <w:pPr>
              <w:tabs>
                <w:tab w:val="center" w:pos="4320"/>
                <w:tab w:val="right" w:pos="8640"/>
              </w:tabs>
              <w:rPr>
                <w:rFonts w:ascii="Tahoma" w:hAnsi="Tahoma" w:cs="Tahoma"/>
                <w:sz w:val="20"/>
                <w:szCs w:val="20"/>
                <w:lang w:val="en-US"/>
              </w:rPr>
            </w:pPr>
          </w:p>
        </w:tc>
        <w:tc>
          <w:tcPr>
            <w:tcW w:w="1800" w:type="dxa"/>
            <w:shd w:val="clear" w:color="auto" w:fill="EAF1DD" w:themeFill="accent3" w:themeFillTint="33"/>
          </w:tcPr>
          <w:p w:rsidR="00705AB2" w:rsidRPr="00705AB2" w:rsidRDefault="00BB3024" w:rsidP="00BB3024">
            <w:pPr>
              <w:tabs>
                <w:tab w:val="center" w:pos="4320"/>
                <w:tab w:val="right" w:pos="8640"/>
              </w:tabs>
              <w:rPr>
                <w:rFonts w:ascii="Tahoma" w:hAnsi="Tahoma" w:cs="Tahoma"/>
                <w:sz w:val="20"/>
                <w:szCs w:val="20"/>
                <w:lang w:val="en-US"/>
              </w:rPr>
            </w:pPr>
            <w:r>
              <w:rPr>
                <w:rFonts w:ascii="Tahoma" w:hAnsi="Tahoma" w:cs="Tahoma"/>
                <w:sz w:val="20"/>
                <w:szCs w:val="20"/>
                <w:lang w:val="en-US"/>
              </w:rPr>
              <w:t>This will include the i</w:t>
            </w:r>
            <w:r w:rsidR="00705AB2" w:rsidRPr="00705AB2">
              <w:rPr>
                <w:rFonts w:ascii="Tahoma" w:hAnsi="Tahoma" w:cs="Tahoma"/>
                <w:sz w:val="20"/>
                <w:szCs w:val="20"/>
                <w:lang w:val="en-US"/>
              </w:rPr>
              <w:t xml:space="preserve">mplementation of a European Innovation Partnership and completion the </w:t>
            </w:r>
            <w:r w:rsidR="00705AB2" w:rsidRPr="00705AB2">
              <w:rPr>
                <w:rFonts w:ascii="Tahoma" w:hAnsi="Tahoma" w:cs="Tahoma"/>
                <w:sz w:val="20"/>
                <w:szCs w:val="20"/>
                <w:lang w:val="en-US"/>
              </w:rPr>
              <w:lastRenderedPageBreak/>
              <w:t>European Research Area in the bio-economy sectors</w:t>
            </w:r>
            <w:r>
              <w:rPr>
                <w:rFonts w:ascii="Tahoma" w:hAnsi="Tahoma" w:cs="Tahoma"/>
                <w:sz w:val="20"/>
                <w:szCs w:val="20"/>
                <w:lang w:val="en-US"/>
              </w:rPr>
              <w:t xml:space="preserve"> in order to:</w:t>
            </w:r>
          </w:p>
          <w:p w:rsidR="00705AB2" w:rsidRDefault="00BB3024" w:rsidP="00705AB2">
            <w:pPr>
              <w:tabs>
                <w:tab w:val="center" w:pos="4320"/>
                <w:tab w:val="right" w:pos="8640"/>
              </w:tabs>
              <w:autoSpaceDE w:val="0"/>
              <w:autoSpaceDN w:val="0"/>
              <w:adjustRightInd w:val="0"/>
              <w:rPr>
                <w:rFonts w:ascii="Tahoma" w:hAnsi="Tahoma" w:cs="Tahoma"/>
                <w:sz w:val="20"/>
                <w:szCs w:val="20"/>
                <w:lang w:val="en-US"/>
              </w:rPr>
            </w:pPr>
            <w:r>
              <w:rPr>
                <w:rFonts w:ascii="Tahoma" w:hAnsi="Tahoma" w:cs="Tahoma"/>
                <w:sz w:val="20"/>
                <w:szCs w:val="20"/>
                <w:lang w:val="en-US"/>
              </w:rPr>
              <w:t xml:space="preserve">- </w:t>
            </w:r>
            <w:r w:rsidR="00705AB2" w:rsidRPr="00705AB2">
              <w:rPr>
                <w:rFonts w:ascii="Tahoma" w:hAnsi="Tahoma" w:cs="Tahoma"/>
                <w:sz w:val="20"/>
                <w:szCs w:val="20"/>
                <w:lang w:val="en-US"/>
              </w:rPr>
              <w:t xml:space="preserve"> improve framework conditions for innovation including promotion of knowledge </w:t>
            </w:r>
            <w:r>
              <w:rPr>
                <w:rFonts w:ascii="Tahoma" w:hAnsi="Tahoma" w:cs="Tahoma"/>
                <w:sz w:val="20"/>
                <w:szCs w:val="20"/>
                <w:lang w:val="en-US"/>
              </w:rPr>
              <w:t>transfer and public procurement</w:t>
            </w:r>
          </w:p>
          <w:p w:rsidR="00705AB2" w:rsidRPr="00705AB2" w:rsidRDefault="00BB3024" w:rsidP="00BB3024">
            <w:pPr>
              <w:tabs>
                <w:tab w:val="center" w:pos="4320"/>
                <w:tab w:val="right" w:pos="8640"/>
              </w:tabs>
              <w:autoSpaceDE w:val="0"/>
              <w:autoSpaceDN w:val="0"/>
              <w:adjustRightInd w:val="0"/>
              <w:rPr>
                <w:rFonts w:ascii="Tahoma" w:hAnsi="Tahoma" w:cs="Tahoma"/>
                <w:sz w:val="20"/>
                <w:szCs w:val="20"/>
                <w:lang w:val="en-US"/>
              </w:rPr>
            </w:pPr>
            <w:r>
              <w:rPr>
                <w:rFonts w:ascii="Tahoma" w:hAnsi="Tahoma" w:cs="Tahoma"/>
                <w:sz w:val="20"/>
                <w:szCs w:val="20"/>
                <w:lang w:val="en-US"/>
              </w:rPr>
              <w:t xml:space="preserve">-develop </w:t>
            </w:r>
            <w:r w:rsidR="00705AB2" w:rsidRPr="00705AB2">
              <w:rPr>
                <w:rFonts w:ascii="Tahoma" w:hAnsi="Tahoma" w:cs="Tahoma"/>
                <w:sz w:val="20"/>
                <w:szCs w:val="20"/>
                <w:lang w:val="en-US"/>
              </w:rPr>
              <w:t>standards</w:t>
            </w:r>
            <w:r>
              <w:rPr>
                <w:rFonts w:ascii="Tahoma" w:hAnsi="Tahoma" w:cs="Tahoma"/>
                <w:sz w:val="20"/>
                <w:szCs w:val="20"/>
                <w:lang w:val="en-US"/>
              </w:rPr>
              <w:t xml:space="preserve"> </w:t>
            </w:r>
            <w:r w:rsidR="00705AB2" w:rsidRPr="00705AB2">
              <w:rPr>
                <w:rFonts w:ascii="Tahoma" w:hAnsi="Tahoma" w:cs="Tahoma"/>
                <w:sz w:val="20"/>
                <w:szCs w:val="20"/>
                <w:lang w:val="en-US"/>
              </w:rPr>
              <w:t>to stimulate the reforms of Member States national R&amp;D and innovation systems, in order to enable the development of</w:t>
            </w:r>
            <w:r>
              <w:rPr>
                <w:rFonts w:ascii="Tahoma" w:hAnsi="Tahoma" w:cs="Tahoma"/>
                <w:sz w:val="20"/>
                <w:szCs w:val="20"/>
                <w:lang w:val="en-US"/>
              </w:rPr>
              <w:t xml:space="preserve"> </w:t>
            </w:r>
            <w:r w:rsidR="00705AB2" w:rsidRPr="00705AB2">
              <w:rPr>
                <w:rFonts w:ascii="Tahoma" w:hAnsi="Tahoma" w:cs="Tahoma"/>
                <w:sz w:val="20"/>
                <w:szCs w:val="20"/>
                <w:lang w:val="en-US"/>
              </w:rPr>
              <w:t>the bio-economy at national level</w:t>
            </w: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 xml:space="preserve">Communication on Partnerships in research and </w:t>
            </w:r>
            <w:r w:rsidRPr="00705AB2">
              <w:rPr>
                <w:rFonts w:ascii="Tahoma" w:hAnsi="Tahoma" w:cs="Tahoma"/>
                <w:color w:val="000000"/>
                <w:sz w:val="20"/>
                <w:szCs w:val="20"/>
                <w:lang w:val="en-US"/>
              </w:rPr>
              <w:lastRenderedPageBreak/>
              <w:t>Innovation</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(non-legislative)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lastRenderedPageBreak/>
              <w:t>DG Research and Innovation</w:t>
            </w:r>
          </w:p>
        </w:tc>
        <w:tc>
          <w:tcPr>
            <w:tcW w:w="288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Part of EU 2020 Strategy and the Innovation Union</w:t>
            </w:r>
          </w:p>
        </w:tc>
        <w:tc>
          <w:tcPr>
            <w:tcW w:w="360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The Commission will present a Communication on how partnerships </w:t>
            </w:r>
            <w:r w:rsidRPr="00705AB2">
              <w:rPr>
                <w:rFonts w:ascii="Tahoma" w:hAnsi="Tahoma" w:cs="Tahoma"/>
                <w:sz w:val="20"/>
                <w:szCs w:val="20"/>
                <w:lang w:val="en-US"/>
              </w:rPr>
              <w:lastRenderedPageBreak/>
              <w:t>for innovation and research of different nature (such as public-private and public-public), can deliver towards the EU 2020 strategy and the Innovation Union. Special attention will be paid to the Innovation Partnerships concept.</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34597" w:rsidTr="00BB3024">
        <w:tc>
          <w:tcPr>
            <w:tcW w:w="2790" w:type="dxa"/>
            <w:shd w:val="clear" w:color="auto" w:fill="EAF1DD" w:themeFill="accent3" w:themeFillTint="33"/>
          </w:tcPr>
          <w:p w:rsidR="00705AB2" w:rsidRPr="00705AB2" w:rsidRDefault="00705AB2" w:rsidP="00705AB2">
            <w:pPr>
              <w:tabs>
                <w:tab w:val="center" w:pos="4320"/>
                <w:tab w:val="right" w:pos="8640"/>
              </w:tabs>
              <w:rPr>
                <w:rFonts w:ascii="Tahoma" w:hAnsi="Tahoma" w:cs="Tahoma"/>
                <w:color w:val="000000"/>
                <w:sz w:val="20"/>
                <w:szCs w:val="20"/>
                <w:lang w:val="fr-BE"/>
              </w:rPr>
            </w:pPr>
            <w:r w:rsidRPr="00705AB2">
              <w:rPr>
                <w:rFonts w:ascii="Tahoma" w:hAnsi="Tahoma" w:cs="Tahoma"/>
                <w:color w:val="000000"/>
                <w:sz w:val="20"/>
                <w:szCs w:val="20"/>
                <w:lang w:val="fr-BE"/>
              </w:rPr>
              <w:lastRenderedPageBreak/>
              <w:t>Communication on scientific information</w:t>
            </w:r>
          </w:p>
          <w:p w:rsidR="00705AB2" w:rsidRPr="00705AB2" w:rsidRDefault="00705AB2" w:rsidP="00705AB2">
            <w:pPr>
              <w:tabs>
                <w:tab w:val="center" w:pos="4320"/>
                <w:tab w:val="right" w:pos="8640"/>
              </w:tabs>
              <w:rPr>
                <w:rFonts w:ascii="Tahoma" w:hAnsi="Tahoma" w:cs="Tahoma"/>
                <w:color w:val="000000"/>
                <w:sz w:val="20"/>
                <w:szCs w:val="20"/>
                <w:lang w:val="fr-BE"/>
              </w:rPr>
            </w:pPr>
            <w:r w:rsidRPr="00705AB2">
              <w:rPr>
                <w:rFonts w:ascii="Tahoma" w:hAnsi="Tahoma" w:cs="Tahoma"/>
                <w:color w:val="000000"/>
                <w:sz w:val="20"/>
                <w:szCs w:val="20"/>
                <w:lang w:val="fr-BE"/>
              </w:rPr>
              <w:t>(non-legislative)</w:t>
            </w:r>
          </w:p>
        </w:tc>
        <w:tc>
          <w:tcPr>
            <w:tcW w:w="189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Research and Innovation</w:t>
            </w:r>
          </w:p>
        </w:tc>
        <w:tc>
          <w:tcPr>
            <w:tcW w:w="288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Follow-on to the 2007 Communication on 'scientific information in the digital age', adopted as part of the digital libraries initiative.</w:t>
            </w:r>
          </w:p>
        </w:tc>
        <w:tc>
          <w:tcPr>
            <w:tcW w:w="3600" w:type="dxa"/>
            <w:shd w:val="clear" w:color="auto" w:fill="EAF1DD" w:themeFill="accent3"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Communication will take stock of the developments in the area of access to scientific information, and will outline the next steps the Commission will take. It will amongst other things define a position on the possibility to extend the open access mandate from the current pilot areas to the whole of FP8.</w:t>
            </w:r>
          </w:p>
        </w:tc>
        <w:tc>
          <w:tcPr>
            <w:tcW w:w="1800"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AF1DD" w:themeFill="accent3" w:themeFillTint="33"/>
          </w:tcPr>
          <w:p w:rsidR="00705AB2" w:rsidRPr="00705AB2" w:rsidRDefault="00705AB2" w:rsidP="00705AB2">
            <w:pPr>
              <w:tabs>
                <w:tab w:val="center" w:pos="4320"/>
                <w:tab w:val="right" w:pos="8640"/>
              </w:tabs>
              <w:rPr>
                <w:rFonts w:ascii="Tahoma" w:hAnsi="Tahoma" w:cs="Tahoma"/>
                <w:sz w:val="20"/>
                <w:szCs w:val="20"/>
                <w:lang w:val="en-US"/>
              </w:rPr>
            </w:pPr>
          </w:p>
        </w:tc>
      </w:tr>
      <w:tr w:rsidR="00705AB2" w:rsidRPr="00705AB2"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b/>
                <w:color w:val="000000"/>
                <w:sz w:val="20"/>
                <w:szCs w:val="20"/>
              </w:rPr>
            </w:pPr>
            <w:r w:rsidRPr="00705AB2">
              <w:rPr>
                <w:rFonts w:ascii="Tahoma" w:hAnsi="Tahoma" w:cs="Tahoma"/>
                <w:b/>
                <w:color w:val="000000"/>
                <w:sz w:val="20"/>
                <w:szCs w:val="20"/>
              </w:rPr>
              <w:t>Other initiatives:</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Legislative proposal to amend directive 2004/37 concerning the protection of workers against the risks associated to the exposure to carcinogens and mutagens at work</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lastRenderedPageBreak/>
              <w:t>DG Employment, Social Affairs and Inclusion</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3600" w:type="dxa"/>
            <w:shd w:val="clear" w:color="auto" w:fill="E5DFEC" w:themeFill="accent4" w:themeFillTint="33"/>
          </w:tcPr>
          <w:p w:rsidR="00705AB2" w:rsidRPr="00705AB2"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purpose is to review the current legal framework in order to address acceptable</w:t>
            </w:r>
            <w:r w:rsidR="00BB3024">
              <w:rPr>
                <w:rFonts w:ascii="Tahoma" w:hAnsi="Tahoma" w:cs="Tahoma"/>
                <w:sz w:val="20"/>
                <w:szCs w:val="20"/>
                <w:lang w:val="en-US"/>
              </w:rPr>
              <w:t xml:space="preserve"> </w:t>
            </w:r>
            <w:r w:rsidRPr="00705AB2">
              <w:rPr>
                <w:rFonts w:ascii="Tahoma" w:hAnsi="Tahoma" w:cs="Tahoma"/>
                <w:sz w:val="20"/>
                <w:szCs w:val="20"/>
                <w:lang w:val="en-US"/>
              </w:rPr>
              <w:t>cancer risk levels, improve risk management, and assess the extension of the scope of the Directive in order to take into account new factors of risk and substances that are toxic for reproduction.</w:t>
            </w: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2013</w:t>
            </w: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Revision of the EIA directive (Environmental Impact Assessment)</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5DFEC" w:themeFill="accent4"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global objective of the review is to improve the functioning of the Directive, by ensuring a more consistent and effective application of the principles of environmental assessment and ensure consistency with the international obligations deriving from the Espoo Convention (including the Protocol on Strategic Environmental Assessment).</w:t>
            </w: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w:t>
            </w: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Blue Print to safeguard Europe’s water resources</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(legislative/non-legislative)</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Based on review of existing water policy</w:t>
            </w:r>
          </w:p>
        </w:tc>
        <w:tc>
          <w:tcPr>
            <w:tcW w:w="3600" w:type="dxa"/>
            <w:shd w:val="clear" w:color="auto" w:fill="E5DFEC" w:themeFill="accent4"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The objective is to ensure the availability of sufficient quantities of good quality water to support aquatic ecosystems and sustainable use for human needs and economic purposes. It will be based on a review of existing water policy including on water scarcity, vulnerability and on droughts and on an assessment of the implementation of the Water Framework Directive. </w:t>
            </w: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An initiative on water efficiency could be envisaged to promote water savings in public and private buildings.</w:t>
            </w: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w:t>
            </w: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Revision strategy on endocrine disruptors</w:t>
            </w:r>
          </w:p>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(non-legislative)</w:t>
            </w:r>
          </w:p>
          <w:p w:rsidR="00705AB2" w:rsidRPr="00705AB2" w:rsidRDefault="00705AB2" w:rsidP="00705AB2">
            <w:pPr>
              <w:tabs>
                <w:tab w:val="center" w:pos="4320"/>
                <w:tab w:val="right" w:pos="8640"/>
              </w:tabs>
              <w:rPr>
                <w:rFonts w:ascii="Tahoma" w:hAnsi="Tahoma" w:cs="Tahoma"/>
                <w:color w:val="000000"/>
                <w:sz w:val="20"/>
                <w:szCs w:val="20"/>
                <w:lang w:val="en-US"/>
              </w:rPr>
            </w:pP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Builds on the 2010/11 report on the existing strategy on endocrine disruptors.</w:t>
            </w:r>
          </w:p>
        </w:tc>
        <w:tc>
          <w:tcPr>
            <w:tcW w:w="3600" w:type="dxa"/>
            <w:shd w:val="clear" w:color="auto" w:fill="E5DFEC" w:themeFill="accent4"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revision of the strategy will examine the possibility of tighter controls and restrictions on the manufacture, importation, authorisation and use of substances that are considered to be endocrine disruptors.</w:t>
            </w: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2012-2013</w:t>
            </w: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lastRenderedPageBreak/>
              <w:t>Communication on consumer empowerment</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Health and Consumer</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5DFEC" w:themeFill="accent4"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The Communication's objective is to put together best practices on consumer empowerment with regard to information, education, media, representation and redress). </w:t>
            </w:r>
          </w:p>
          <w:p w:rsidR="00705AB2" w:rsidRPr="00705AB2" w:rsidRDefault="00705AB2" w:rsidP="00705AB2">
            <w:pPr>
              <w:tabs>
                <w:tab w:val="center" w:pos="4320"/>
                <w:tab w:val="right" w:pos="8640"/>
              </w:tabs>
              <w:rPr>
                <w:rFonts w:ascii="Tahoma" w:hAnsi="Tahoma" w:cs="Tahoma"/>
                <w:sz w:val="20"/>
                <w:szCs w:val="20"/>
                <w:lang w:val="en-US"/>
              </w:rPr>
            </w:pPr>
          </w:p>
        </w:tc>
        <w:tc>
          <w:tcPr>
            <w:tcW w:w="1800" w:type="dxa"/>
            <w:shd w:val="clear" w:color="auto" w:fill="E5DFEC" w:themeFill="accent4" w:themeFillTint="33"/>
          </w:tcPr>
          <w:p w:rsidR="00BB3024"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This will involve: </w:t>
            </w:r>
            <w:r w:rsidR="00BB3024">
              <w:rPr>
                <w:rFonts w:ascii="Tahoma" w:hAnsi="Tahoma" w:cs="Tahoma"/>
                <w:sz w:val="20"/>
                <w:szCs w:val="20"/>
                <w:lang w:val="en-US"/>
              </w:rPr>
              <w:t xml:space="preserve">- </w:t>
            </w:r>
            <w:r w:rsidRPr="00705AB2">
              <w:rPr>
                <w:rFonts w:ascii="Tahoma" w:hAnsi="Tahoma" w:cs="Tahoma"/>
                <w:sz w:val="20"/>
                <w:szCs w:val="20"/>
                <w:lang w:val="en-US"/>
              </w:rPr>
              <w:t>identifying best practices in</w:t>
            </w:r>
            <w:r w:rsidR="00BB3024">
              <w:rPr>
                <w:rFonts w:ascii="Tahoma" w:hAnsi="Tahoma" w:cs="Tahoma"/>
                <w:sz w:val="20"/>
                <w:szCs w:val="20"/>
                <w:lang w:val="en-US"/>
              </w:rPr>
              <w:t xml:space="preserve"> information of consumer rights, consumer advice provision, </w:t>
            </w:r>
            <w:r w:rsidRPr="00705AB2">
              <w:rPr>
                <w:rFonts w:ascii="Tahoma" w:hAnsi="Tahoma" w:cs="Tahoma"/>
                <w:sz w:val="20"/>
                <w:szCs w:val="20"/>
                <w:lang w:val="en-US"/>
              </w:rPr>
              <w:t xml:space="preserve">consumer complaint handling, consumer education and capacity-building, </w:t>
            </w:r>
          </w:p>
          <w:p w:rsidR="00705AB2" w:rsidRPr="00705AB2" w:rsidRDefault="00BB3024" w:rsidP="00BB3024">
            <w:pPr>
              <w:tabs>
                <w:tab w:val="center" w:pos="4320"/>
                <w:tab w:val="right" w:pos="8640"/>
              </w:tabs>
              <w:autoSpaceDE w:val="0"/>
              <w:autoSpaceDN w:val="0"/>
              <w:adjustRightInd w:val="0"/>
              <w:rPr>
                <w:rFonts w:ascii="Tahoma" w:hAnsi="Tahoma" w:cs="Tahoma"/>
                <w:sz w:val="20"/>
                <w:szCs w:val="20"/>
                <w:lang w:val="en-US"/>
              </w:rPr>
            </w:pPr>
            <w:r>
              <w:rPr>
                <w:rFonts w:ascii="Tahoma" w:hAnsi="Tahoma" w:cs="Tahoma"/>
                <w:sz w:val="20"/>
                <w:szCs w:val="20"/>
                <w:lang w:val="en-US"/>
              </w:rPr>
              <w:t xml:space="preserve">- </w:t>
            </w:r>
            <w:r w:rsidR="00705AB2" w:rsidRPr="00705AB2">
              <w:rPr>
                <w:rFonts w:ascii="Tahoma" w:hAnsi="Tahoma" w:cs="Tahoma"/>
                <w:sz w:val="20"/>
                <w:szCs w:val="20"/>
                <w:lang w:val="en-US"/>
              </w:rPr>
              <w:t>development of guidelines on transparent price and quality/ performance information.</w:t>
            </w: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w:t>
            </w: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 xml:space="preserve">Review of REACH </w:t>
            </w:r>
          </w:p>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(non-legislative/legislative)</w:t>
            </w:r>
          </w:p>
          <w:p w:rsidR="00705AB2" w:rsidRPr="00705AB2" w:rsidRDefault="00705AB2" w:rsidP="00705AB2">
            <w:pPr>
              <w:tabs>
                <w:tab w:val="center" w:pos="4320"/>
                <w:tab w:val="right" w:pos="8640"/>
              </w:tabs>
              <w:rPr>
                <w:rFonts w:ascii="Tahoma" w:hAnsi="Tahoma" w:cs="Tahoma"/>
                <w:color w:val="000000"/>
                <w:sz w:val="20"/>
                <w:szCs w:val="20"/>
                <w:lang w:val="en-US"/>
              </w:rPr>
            </w:pP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DG Industry and Entrepreneurship and DG Environment</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REACH</w:t>
            </w:r>
          </w:p>
        </w:tc>
        <w:tc>
          <w:tcPr>
            <w:tcW w:w="3600" w:type="dxa"/>
            <w:shd w:val="clear" w:color="auto" w:fill="E5DFEC" w:themeFill="accent4"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Commission is required to conduct an evaluation of the REACH regulation in 2012, taking into account the following minimal requirements for the scope:</w:t>
            </w:r>
          </w:p>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Calibri" w:hAnsi="Calibri" w:cs="Tahoma"/>
                <w:sz w:val="20"/>
                <w:szCs w:val="20"/>
                <w:lang w:val="en-US"/>
              </w:rPr>
              <w:t>•</w:t>
            </w:r>
            <w:r w:rsidRPr="00705AB2">
              <w:rPr>
                <w:rFonts w:ascii="Tahoma" w:hAnsi="Tahoma" w:cs="Tahoma"/>
                <w:sz w:val="20"/>
                <w:szCs w:val="20"/>
                <w:lang w:val="en-US"/>
              </w:rPr>
              <w:t xml:space="preserve"> Review of the experience acquired with the operation of this Regulation and the amount and distribution of funding made available by the Commission for the development and </w:t>
            </w:r>
            <w:r w:rsidRPr="00705AB2">
              <w:rPr>
                <w:rFonts w:ascii="Tahoma" w:hAnsi="Tahoma" w:cs="Tahoma"/>
                <w:sz w:val="20"/>
                <w:szCs w:val="20"/>
                <w:lang w:val="en-US"/>
              </w:rPr>
              <w:lastRenderedPageBreak/>
              <w:t>evaluation of alternative test methods (art 117.4 of REACH).</w:t>
            </w:r>
          </w:p>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Calibri" w:hAnsi="Calibri" w:cs="Tahoma"/>
                <w:sz w:val="20"/>
                <w:szCs w:val="20"/>
                <w:lang w:val="en-US"/>
              </w:rPr>
              <w:t>•</w:t>
            </w:r>
            <w:r w:rsidRPr="00705AB2">
              <w:rPr>
                <w:rFonts w:ascii="Tahoma" w:hAnsi="Tahoma" w:cs="Tahoma"/>
                <w:sz w:val="20"/>
                <w:szCs w:val="20"/>
                <w:lang w:val="en-US"/>
              </w:rPr>
              <w:t xml:space="preserve"> An assessment to whether to amend (or not) the scope of REACH regulation to avoid</w:t>
            </w:r>
            <w:r w:rsidR="00BB3024">
              <w:rPr>
                <w:rFonts w:ascii="Tahoma" w:hAnsi="Tahoma" w:cs="Tahoma"/>
                <w:sz w:val="20"/>
                <w:szCs w:val="20"/>
                <w:lang w:val="en-US"/>
              </w:rPr>
              <w:t xml:space="preserve"> </w:t>
            </w:r>
            <w:r w:rsidRPr="00705AB2">
              <w:rPr>
                <w:rFonts w:ascii="Tahoma" w:hAnsi="Tahoma" w:cs="Tahoma"/>
                <w:sz w:val="20"/>
                <w:szCs w:val="20"/>
                <w:lang w:val="en-US"/>
              </w:rPr>
              <w:t xml:space="preserve">overlaps with other relevant Community provisions (art 138.6 of REACH).  </w:t>
            </w:r>
          </w:p>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Calibri" w:hAnsi="Calibri" w:cs="Tahoma"/>
                <w:sz w:val="20"/>
                <w:szCs w:val="20"/>
                <w:lang w:val="en-US"/>
              </w:rPr>
              <w:t>•</w:t>
            </w:r>
            <w:r w:rsidRPr="00705AB2">
              <w:rPr>
                <w:rFonts w:ascii="Tahoma" w:hAnsi="Tahoma" w:cs="Tahoma"/>
                <w:sz w:val="20"/>
                <w:szCs w:val="20"/>
                <w:lang w:val="en-US"/>
              </w:rPr>
              <w:t xml:space="preserve"> Review of the European Chemicals Agency (art 75.2 of REACH)</w:t>
            </w: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w:t>
            </w: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Review of Europe’s standardisation system</w:t>
            </w:r>
          </w:p>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(legislative)</w:t>
            </w: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Industry and Entrepreneurship</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E5DFEC" w:themeFill="accent4"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Major review of the existing standardisation system aiming i.a. at strengthening the innovation dimension.</w:t>
            </w: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2013</w:t>
            </w:r>
          </w:p>
        </w:tc>
      </w:tr>
      <w:tr w:rsidR="00705AB2" w:rsidRPr="003D72C1" w:rsidTr="00BB3024">
        <w:tc>
          <w:tcPr>
            <w:tcW w:w="2790" w:type="dxa"/>
            <w:shd w:val="clear" w:color="auto" w:fill="E5DFEC" w:themeFill="accent4"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Framework directive on European Research area (ERA)</w:t>
            </w:r>
          </w:p>
          <w:p w:rsidR="00705AB2" w:rsidRPr="00705AB2" w:rsidRDefault="00705AB2" w:rsidP="00705AB2">
            <w:pPr>
              <w:tabs>
                <w:tab w:val="center" w:pos="4320"/>
                <w:tab w:val="right" w:pos="8640"/>
              </w:tabs>
              <w:rPr>
                <w:rFonts w:ascii="Tahoma" w:hAnsi="Tahoma" w:cs="Tahoma"/>
                <w:color w:val="000000"/>
                <w:sz w:val="20"/>
                <w:szCs w:val="20"/>
              </w:rPr>
            </w:pPr>
            <w:r w:rsidRPr="00705AB2">
              <w:rPr>
                <w:rFonts w:ascii="Tahoma" w:hAnsi="Tahoma" w:cs="Tahoma"/>
                <w:color w:val="000000"/>
                <w:sz w:val="20"/>
                <w:szCs w:val="20"/>
              </w:rPr>
              <w:t xml:space="preserve">(legislative) </w:t>
            </w:r>
          </w:p>
        </w:tc>
        <w:tc>
          <w:tcPr>
            <w:tcW w:w="189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Research and Innovation</w:t>
            </w:r>
          </w:p>
        </w:tc>
        <w:tc>
          <w:tcPr>
            <w:tcW w:w="288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 xml:space="preserve">Has been announced in the "Innovation Union" flagship initiative. </w:t>
            </w:r>
          </w:p>
        </w:tc>
        <w:tc>
          <w:tcPr>
            <w:tcW w:w="3600" w:type="dxa"/>
            <w:shd w:val="clear" w:color="auto" w:fill="E5DFEC" w:themeFill="accent4" w:themeFillTint="33"/>
          </w:tcPr>
          <w:p w:rsidR="00705AB2" w:rsidRPr="00705AB2"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Commission will</w:t>
            </w:r>
            <w:r w:rsidR="00BB3024">
              <w:rPr>
                <w:rFonts w:ascii="Tahoma" w:hAnsi="Tahoma" w:cs="Tahoma"/>
                <w:sz w:val="20"/>
                <w:szCs w:val="20"/>
                <w:lang w:val="en-US"/>
              </w:rPr>
              <w:t xml:space="preserve"> </w:t>
            </w:r>
            <w:r w:rsidRPr="00705AB2">
              <w:rPr>
                <w:rFonts w:ascii="Tahoma" w:hAnsi="Tahoma" w:cs="Tahoma"/>
                <w:sz w:val="20"/>
                <w:szCs w:val="20"/>
                <w:lang w:val="en-US"/>
              </w:rPr>
              <w:t>propose a European Research Area framework and supporting measures to remove obstacles to mobility and cross-border cooperation.</w:t>
            </w:r>
          </w:p>
        </w:tc>
        <w:tc>
          <w:tcPr>
            <w:tcW w:w="1800"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E5DFEC" w:themeFill="accent4"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w:t>
            </w:r>
          </w:p>
        </w:tc>
      </w:tr>
      <w:tr w:rsidR="00705AB2" w:rsidRPr="003D72C1"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b/>
                <w:color w:val="000000"/>
                <w:sz w:val="20"/>
                <w:szCs w:val="20"/>
              </w:rPr>
            </w:pPr>
            <w:r w:rsidRPr="00705AB2">
              <w:rPr>
                <w:rFonts w:ascii="Tahoma" w:hAnsi="Tahoma" w:cs="Tahoma"/>
                <w:b/>
                <w:color w:val="000000"/>
                <w:sz w:val="20"/>
                <w:szCs w:val="20"/>
              </w:rPr>
              <w:t>Administrative burden reduction initiatives:</w:t>
            </w:r>
          </w:p>
          <w:p w:rsidR="00705AB2" w:rsidRPr="00705AB2" w:rsidRDefault="00705AB2" w:rsidP="00705AB2">
            <w:pPr>
              <w:tabs>
                <w:tab w:val="center" w:pos="4320"/>
                <w:tab w:val="right" w:pos="8640"/>
              </w:tabs>
              <w:rPr>
                <w:rFonts w:ascii="Tahoma" w:hAnsi="Tahoma" w:cs="Tahoma"/>
                <w:color w:val="000000"/>
                <w:sz w:val="20"/>
                <w:szCs w:val="20"/>
              </w:rPr>
            </w:pP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c>
          <w:tcPr>
            <w:tcW w:w="288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c>
          <w:tcPr>
            <w:tcW w:w="1294"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r>
      <w:tr w:rsidR="00705AB2" w:rsidRPr="003D72C1"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 xml:space="preserve">Revision of the decision No. 280/2004 concerning a mechanism for monitoring Community greenhouse gas emissions and for </w:t>
            </w:r>
            <w:r w:rsidRPr="00705AB2">
              <w:rPr>
                <w:rFonts w:ascii="Tahoma" w:hAnsi="Tahoma" w:cs="Tahoma"/>
                <w:color w:val="000000"/>
                <w:sz w:val="20"/>
                <w:szCs w:val="20"/>
                <w:lang w:val="en-US"/>
              </w:rPr>
              <w:lastRenderedPageBreak/>
              <w:t>implementing the Kyoto protocol</w:t>
            </w:r>
          </w:p>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+Commission Decision 2005/166/EC laying down rules implementing Decision No. 280/2004/EC</w:t>
            </w: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lastRenderedPageBreak/>
              <w:t>DG Climate Change</w:t>
            </w:r>
          </w:p>
        </w:tc>
        <w:tc>
          <w:tcPr>
            <w:tcW w:w="288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DAEEF3" w:themeFill="accent5" w:themeFillTint="33"/>
          </w:tcPr>
          <w:p w:rsidR="00705AB2" w:rsidRPr="00705AB2" w:rsidRDefault="00705AB2" w:rsidP="00D03E2F">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It needs to be revised in particular to reflect the experience gained through the implementation of the Kyoto Protocol and the adoption of the Climate and Energy Package. This </w:t>
            </w:r>
            <w:r w:rsidRPr="00705AB2">
              <w:rPr>
                <w:rFonts w:ascii="Tahoma" w:hAnsi="Tahoma" w:cs="Tahoma"/>
                <w:sz w:val="20"/>
                <w:szCs w:val="20"/>
                <w:lang w:val="en-US"/>
              </w:rPr>
              <w:lastRenderedPageBreak/>
              <w:t>initiative will also aim at</w:t>
            </w:r>
            <w:r w:rsidR="00D03E2F">
              <w:rPr>
                <w:rFonts w:ascii="Tahoma" w:hAnsi="Tahoma" w:cs="Tahoma"/>
                <w:sz w:val="20"/>
                <w:szCs w:val="20"/>
                <w:lang w:val="en-US"/>
              </w:rPr>
              <w:t xml:space="preserve"> </w:t>
            </w:r>
            <w:r w:rsidRPr="00705AB2">
              <w:rPr>
                <w:rFonts w:ascii="Tahoma" w:hAnsi="Tahoma" w:cs="Tahoma"/>
                <w:sz w:val="20"/>
                <w:szCs w:val="20"/>
                <w:lang w:val="en-US"/>
              </w:rPr>
              <w:t>simplifying the current legislation and reducing unnecessary administrative burden in particular by introducing clearer and simpler reporting procedures and tools.</w:t>
            </w: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2011</w:t>
            </w:r>
          </w:p>
        </w:tc>
      </w:tr>
      <w:tr w:rsidR="00705AB2" w:rsidRPr="00D03E2F"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 xml:space="preserve">Revision of the legislative proposal on the coherence/simplification of the waste acquis </w:t>
            </w: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EU Recycling Directives</w:t>
            </w:r>
          </w:p>
        </w:tc>
        <w:tc>
          <w:tcPr>
            <w:tcW w:w="3600" w:type="dxa"/>
            <w:shd w:val="clear" w:color="auto" w:fill="DAEEF3" w:themeFill="accent5" w:themeFillTint="33"/>
          </w:tcPr>
          <w:p w:rsidR="00D03E2F" w:rsidRPr="00EF4457" w:rsidRDefault="00705AB2" w:rsidP="00EF4457">
            <w:pPr>
              <w:pStyle w:val="Prrafodelista"/>
              <w:numPr>
                <w:ilvl w:val="0"/>
                <w:numId w:val="12"/>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aim</w:t>
            </w:r>
            <w:r w:rsidR="00D03E2F" w:rsidRPr="00EF4457">
              <w:rPr>
                <w:rFonts w:ascii="Tahoma" w:hAnsi="Tahoma" w:cs="Tahoma"/>
                <w:sz w:val="20"/>
                <w:szCs w:val="20"/>
              </w:rPr>
              <w:t>s</w:t>
            </w:r>
            <w:r w:rsidRPr="00EF4457">
              <w:rPr>
                <w:rFonts w:ascii="Tahoma" w:hAnsi="Tahoma" w:cs="Tahoma"/>
                <w:sz w:val="20"/>
                <w:szCs w:val="20"/>
              </w:rPr>
              <w:t xml:space="preserve"> </w:t>
            </w:r>
            <w:r w:rsidR="00D03E2F" w:rsidRPr="00EF4457">
              <w:rPr>
                <w:rFonts w:ascii="Tahoma" w:hAnsi="Tahoma" w:cs="Tahoma"/>
                <w:sz w:val="20"/>
                <w:szCs w:val="20"/>
              </w:rPr>
              <w:t>at</w:t>
            </w:r>
            <w:r w:rsidRPr="00EF4457">
              <w:rPr>
                <w:rFonts w:ascii="Tahoma" w:hAnsi="Tahoma" w:cs="Tahoma"/>
                <w:sz w:val="20"/>
                <w:szCs w:val="20"/>
              </w:rPr>
              <w:t xml:space="preserve"> carry</w:t>
            </w:r>
            <w:r w:rsidR="00D03E2F" w:rsidRPr="00EF4457">
              <w:rPr>
                <w:rFonts w:ascii="Tahoma" w:hAnsi="Tahoma" w:cs="Tahoma"/>
                <w:sz w:val="20"/>
                <w:szCs w:val="20"/>
              </w:rPr>
              <w:t>ing</w:t>
            </w:r>
            <w:r w:rsidRPr="00EF4457">
              <w:rPr>
                <w:rFonts w:ascii="Tahoma" w:hAnsi="Tahoma" w:cs="Tahoma"/>
                <w:sz w:val="20"/>
                <w:szCs w:val="20"/>
              </w:rPr>
              <w:t xml:space="preserve"> out a full screening of</w:t>
            </w:r>
            <w:r w:rsidR="00D03E2F" w:rsidRPr="00EF4457">
              <w:rPr>
                <w:rFonts w:ascii="Tahoma" w:hAnsi="Tahoma" w:cs="Tahoma"/>
                <w:sz w:val="20"/>
                <w:szCs w:val="20"/>
              </w:rPr>
              <w:t xml:space="preserve"> the EU recycling directives</w:t>
            </w:r>
          </w:p>
          <w:p w:rsidR="00D03E2F" w:rsidRDefault="00D03E2F" w:rsidP="00D03E2F">
            <w:pPr>
              <w:pStyle w:val="Prrafodelista"/>
              <w:tabs>
                <w:tab w:val="center" w:pos="4320"/>
                <w:tab w:val="right" w:pos="8640"/>
              </w:tabs>
              <w:autoSpaceDE w:val="0"/>
              <w:autoSpaceDN w:val="0"/>
              <w:adjustRightInd w:val="0"/>
              <w:rPr>
                <w:rFonts w:ascii="Tahoma" w:hAnsi="Tahoma" w:cs="Tahoma"/>
                <w:sz w:val="20"/>
                <w:szCs w:val="20"/>
              </w:rPr>
            </w:pPr>
          </w:p>
          <w:p w:rsidR="00705AB2" w:rsidRPr="00EF4457" w:rsidRDefault="00705AB2" w:rsidP="00EF4457">
            <w:pPr>
              <w:pStyle w:val="Prrafodelista"/>
              <w:numPr>
                <w:ilvl w:val="0"/>
                <w:numId w:val="12"/>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will align product-specific waste legislation (including the Directives on end-of-life vehicles, batteries and packaging) to the Waste Framework Directive.</w:t>
            </w: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DAEEF3" w:themeFill="accent5" w:themeFillTint="33"/>
          </w:tcPr>
          <w:p w:rsidR="00705AB2" w:rsidRPr="00D03E2F" w:rsidRDefault="00705AB2" w:rsidP="00705AB2">
            <w:pPr>
              <w:tabs>
                <w:tab w:val="center" w:pos="4320"/>
                <w:tab w:val="right" w:pos="8640"/>
              </w:tabs>
              <w:rPr>
                <w:rFonts w:ascii="Tahoma" w:hAnsi="Tahoma" w:cs="Tahoma"/>
                <w:sz w:val="20"/>
                <w:szCs w:val="20"/>
                <w:lang w:val="en-US"/>
              </w:rPr>
            </w:pPr>
            <w:r w:rsidRPr="00D03E2F">
              <w:rPr>
                <w:rFonts w:ascii="Tahoma" w:hAnsi="Tahoma" w:cs="Tahoma"/>
                <w:color w:val="000000"/>
                <w:sz w:val="20"/>
                <w:szCs w:val="20"/>
                <w:lang w:val="en-US"/>
              </w:rPr>
              <w:t>2012</w:t>
            </w:r>
          </w:p>
        </w:tc>
      </w:tr>
      <w:tr w:rsidR="00705AB2" w:rsidRPr="003D72C1"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Recast of the directive 2004/107 relating to arsenic, cadmium, mercury, nickel and polycyclic aromatic hydrocarbons in ambient air</w:t>
            </w: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Environment</w:t>
            </w:r>
          </w:p>
        </w:tc>
        <w:tc>
          <w:tcPr>
            <w:tcW w:w="288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 xml:space="preserve">Inclusion in the general review of Directive 2008/50/EC in 2013 </w:t>
            </w:r>
          </w:p>
        </w:tc>
        <w:tc>
          <w:tcPr>
            <w:tcW w:w="3600" w:type="dxa"/>
            <w:shd w:val="clear" w:color="auto" w:fill="DAEEF3" w:themeFill="accent5"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objective is to merge two Directives to ensure that all ambient air quality objectives are contained in one legal instrument.</w:t>
            </w: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2013</w:t>
            </w:r>
          </w:p>
        </w:tc>
      </w:tr>
      <w:tr w:rsidR="00705AB2" w:rsidRPr="003D72C1"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Recast of Directive 1999/32/EC on the sulphur content of certain liquid fuels</w:t>
            </w: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DG Environment</w:t>
            </w:r>
          </w:p>
        </w:tc>
        <w:tc>
          <w:tcPr>
            <w:tcW w:w="288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3600" w:type="dxa"/>
            <w:shd w:val="clear" w:color="auto" w:fill="DAEEF3" w:themeFill="accent5"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Codification will be considered after the review of the directive will have been adopted by colegislation.</w:t>
            </w: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sz w:val="20"/>
                <w:szCs w:val="20"/>
                <w:lang w:val="en-US"/>
              </w:rPr>
              <w:t>2013</w:t>
            </w:r>
          </w:p>
        </w:tc>
      </w:tr>
      <w:tr w:rsidR="00705AB2" w:rsidRPr="00A534BD"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 xml:space="preserve">Revision of the regulation revising the legislation (12 directives) on the marketing of seed and propagating materials to foster </w:t>
            </w:r>
            <w:r w:rsidRPr="00705AB2">
              <w:rPr>
                <w:rFonts w:ascii="Tahoma" w:hAnsi="Tahoma" w:cs="Tahoma"/>
                <w:color w:val="000000"/>
                <w:sz w:val="20"/>
                <w:szCs w:val="20"/>
                <w:lang w:val="en-US"/>
              </w:rPr>
              <w:lastRenderedPageBreak/>
              <w:t xml:space="preserve">innovation in seeds- </w:t>
            </w:r>
          </w:p>
          <w:p w:rsidR="00705AB2" w:rsidRPr="00705AB2" w:rsidRDefault="00705AB2" w:rsidP="00705AB2">
            <w:pPr>
              <w:tabs>
                <w:tab w:val="center" w:pos="4320"/>
                <w:tab w:val="right" w:pos="8640"/>
              </w:tabs>
              <w:rPr>
                <w:rFonts w:ascii="Tahoma" w:hAnsi="Tahoma" w:cs="Tahoma"/>
                <w:color w:val="000000"/>
                <w:sz w:val="20"/>
                <w:szCs w:val="20"/>
                <w:lang w:val="en-US"/>
              </w:rPr>
            </w:pP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lastRenderedPageBreak/>
              <w:t>DG Health and Consumers</w:t>
            </w:r>
          </w:p>
        </w:tc>
        <w:tc>
          <w:tcPr>
            <w:tcW w:w="288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 xml:space="preserve">Modification in the context of Better regulation </w:t>
            </w:r>
          </w:p>
        </w:tc>
        <w:tc>
          <w:tcPr>
            <w:tcW w:w="3600" w:type="dxa"/>
            <w:shd w:val="clear" w:color="auto" w:fill="DAEEF3" w:themeFill="accent5" w:themeFillTint="33"/>
          </w:tcPr>
          <w:p w:rsidR="00BB3024"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 xml:space="preserve">The core objective is to replace the 12 Directives on seed and plant propagating material (S&amp;PM) and to modernise and simplify the legislation in the context of Better Regulation. </w:t>
            </w:r>
          </w:p>
          <w:p w:rsidR="00BB3024"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lastRenderedPageBreak/>
              <w:t xml:space="preserve">The initiative also seeks to reduce overall administrative burden and introduce flexibility within the regulatory framework with a view to globalisation, specialisation and development of new uses of agricultural commodities. </w:t>
            </w:r>
          </w:p>
          <w:p w:rsidR="00705AB2" w:rsidRPr="00705AB2" w:rsidRDefault="00705AB2" w:rsidP="00BB3024">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Thus it aims to foster innovation in the area and to contribute to halt the loss of biodiversity as well as to achieve a harmonised implementation of the legislation throughout the EU and to improve economic</w:t>
            </w:r>
            <w:r w:rsidR="00BB3024">
              <w:rPr>
                <w:rFonts w:ascii="Tahoma" w:hAnsi="Tahoma" w:cs="Tahoma"/>
                <w:sz w:val="20"/>
                <w:szCs w:val="20"/>
                <w:lang w:val="en-US"/>
              </w:rPr>
              <w:t xml:space="preserve"> </w:t>
            </w:r>
            <w:r w:rsidRPr="00705AB2">
              <w:rPr>
                <w:rFonts w:ascii="Tahoma" w:hAnsi="Tahoma" w:cs="Tahoma"/>
                <w:sz w:val="20"/>
                <w:szCs w:val="20"/>
                <w:lang w:val="en-US"/>
              </w:rPr>
              <w:t>competitiveness by ensuring free circulation of S&amp;PM in the EU.</w:t>
            </w: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2011</w:t>
            </w:r>
          </w:p>
        </w:tc>
      </w:tr>
      <w:tr w:rsidR="00705AB2" w:rsidRPr="003D72C1"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lastRenderedPageBreak/>
              <w:t>New proposal for an Animal Health Law (1</w:t>
            </w:r>
            <w:r w:rsidRPr="00705AB2">
              <w:rPr>
                <w:rFonts w:ascii="Tahoma" w:hAnsi="Tahoma" w:cs="Tahoma"/>
                <w:color w:val="000000"/>
                <w:sz w:val="20"/>
                <w:szCs w:val="20"/>
                <w:vertAlign w:val="superscript"/>
                <w:lang w:val="en-US"/>
              </w:rPr>
              <w:t>st</w:t>
            </w:r>
            <w:r w:rsidRPr="00705AB2">
              <w:rPr>
                <w:rFonts w:ascii="Tahoma" w:hAnsi="Tahoma" w:cs="Tahoma"/>
                <w:color w:val="000000"/>
                <w:sz w:val="20"/>
                <w:szCs w:val="20"/>
                <w:lang w:val="en-US"/>
              </w:rPr>
              <w:t xml:space="preserve"> item in package of three) (regulation)</w:t>
            </w:r>
          </w:p>
          <w:p w:rsidR="00705AB2" w:rsidRPr="00705AB2" w:rsidRDefault="00705AB2" w:rsidP="00705AB2">
            <w:pPr>
              <w:tabs>
                <w:tab w:val="center" w:pos="4320"/>
                <w:tab w:val="right" w:pos="8640"/>
              </w:tabs>
              <w:rPr>
                <w:rFonts w:ascii="Tahoma" w:hAnsi="Tahoma" w:cs="Tahoma"/>
                <w:color w:val="000000"/>
                <w:sz w:val="20"/>
                <w:szCs w:val="20"/>
                <w:lang w:val="en-US"/>
              </w:rPr>
            </w:pP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Health and Consumers</w:t>
            </w:r>
          </w:p>
        </w:tc>
        <w:tc>
          <w:tcPr>
            <w:tcW w:w="2880" w:type="dxa"/>
            <w:shd w:val="clear" w:color="auto" w:fill="DAEEF3" w:themeFill="accent5"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proposal will be based on the experience gained in the implementation of the existing legislation and of the extensive evaluation of the EU animal health policy carried out.</w:t>
            </w:r>
          </w:p>
        </w:tc>
        <w:tc>
          <w:tcPr>
            <w:tcW w:w="3600" w:type="dxa"/>
            <w:shd w:val="clear" w:color="auto" w:fill="DAEEF3" w:themeFill="accent5" w:themeFillTint="33"/>
          </w:tcPr>
          <w:p w:rsidR="00705AB2" w:rsidRPr="00705AB2" w:rsidRDefault="00705AB2" w:rsidP="00705AB2">
            <w:pPr>
              <w:tabs>
                <w:tab w:val="center" w:pos="4320"/>
                <w:tab w:val="right" w:pos="8640"/>
              </w:tabs>
              <w:autoSpaceDE w:val="0"/>
              <w:autoSpaceDN w:val="0"/>
              <w:adjustRightInd w:val="0"/>
              <w:rPr>
                <w:rFonts w:ascii="Tahoma" w:hAnsi="Tahoma" w:cs="Tahoma"/>
                <w:sz w:val="20"/>
                <w:szCs w:val="20"/>
                <w:lang w:val="en-US"/>
              </w:rPr>
            </w:pPr>
            <w:r w:rsidRPr="00705AB2">
              <w:rPr>
                <w:rFonts w:ascii="Tahoma" w:hAnsi="Tahoma" w:cs="Tahoma"/>
                <w:sz w:val="20"/>
                <w:szCs w:val="20"/>
                <w:lang w:val="en-US"/>
              </w:rPr>
              <w:t>The new Animal Health law aims to establish a clearer regulatory structure for animal health in the EU combining several legislative acts into one comprehensive animal health framework.</w:t>
            </w: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w:t>
            </w:r>
          </w:p>
        </w:tc>
      </w:tr>
      <w:tr w:rsidR="00705AB2" w:rsidRPr="003D72C1" w:rsidTr="00BB3024">
        <w:tc>
          <w:tcPr>
            <w:tcW w:w="2790" w:type="dxa"/>
            <w:shd w:val="clear" w:color="auto" w:fill="DAEEF3" w:themeFill="accent5" w:themeFillTint="33"/>
          </w:tcPr>
          <w:p w:rsidR="00705AB2" w:rsidRPr="00705AB2" w:rsidRDefault="00705AB2" w:rsidP="00705AB2">
            <w:pPr>
              <w:tabs>
                <w:tab w:val="center" w:pos="4320"/>
                <w:tab w:val="right" w:pos="8640"/>
              </w:tabs>
              <w:rPr>
                <w:rFonts w:ascii="Tahoma" w:hAnsi="Tahoma" w:cs="Tahoma"/>
                <w:color w:val="000000"/>
                <w:sz w:val="20"/>
                <w:szCs w:val="20"/>
                <w:lang w:val="en-US"/>
              </w:rPr>
            </w:pPr>
            <w:r w:rsidRPr="00705AB2">
              <w:rPr>
                <w:rFonts w:ascii="Tahoma" w:hAnsi="Tahoma" w:cs="Tahoma"/>
                <w:color w:val="000000"/>
                <w:sz w:val="20"/>
                <w:szCs w:val="20"/>
                <w:lang w:val="en-US"/>
              </w:rPr>
              <w:t>EU Plant Health Law (3</w:t>
            </w:r>
            <w:r w:rsidRPr="00705AB2">
              <w:rPr>
                <w:rFonts w:ascii="Tahoma" w:hAnsi="Tahoma" w:cs="Tahoma"/>
                <w:color w:val="000000"/>
                <w:sz w:val="20"/>
                <w:szCs w:val="20"/>
                <w:vertAlign w:val="superscript"/>
                <w:lang w:val="en-US"/>
              </w:rPr>
              <w:t>rd</w:t>
            </w:r>
            <w:r w:rsidRPr="00705AB2">
              <w:rPr>
                <w:rFonts w:ascii="Tahoma" w:hAnsi="Tahoma" w:cs="Tahoma"/>
                <w:color w:val="000000"/>
                <w:sz w:val="20"/>
                <w:szCs w:val="20"/>
                <w:lang w:val="en-US"/>
              </w:rPr>
              <w:t xml:space="preserve"> item in package of 3)</w:t>
            </w:r>
          </w:p>
          <w:p w:rsidR="00705AB2" w:rsidRPr="00705AB2" w:rsidRDefault="00705AB2" w:rsidP="00705AB2">
            <w:pPr>
              <w:tabs>
                <w:tab w:val="center" w:pos="4320"/>
                <w:tab w:val="right" w:pos="8640"/>
              </w:tabs>
              <w:rPr>
                <w:rFonts w:ascii="Tahoma" w:hAnsi="Tahoma" w:cs="Tahoma"/>
                <w:color w:val="000000"/>
                <w:sz w:val="20"/>
                <w:szCs w:val="20"/>
                <w:lang w:val="en-US"/>
              </w:rPr>
            </w:pPr>
          </w:p>
        </w:tc>
        <w:tc>
          <w:tcPr>
            <w:tcW w:w="189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sz w:val="20"/>
                <w:szCs w:val="20"/>
              </w:rPr>
              <w:t>DG Health and Consumers</w:t>
            </w:r>
          </w:p>
        </w:tc>
        <w:tc>
          <w:tcPr>
            <w:tcW w:w="288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p>
        </w:tc>
        <w:tc>
          <w:tcPr>
            <w:tcW w:w="3600" w:type="dxa"/>
            <w:shd w:val="clear" w:color="auto" w:fill="DAEEF3" w:themeFill="accent5" w:themeFillTint="33"/>
          </w:tcPr>
          <w:p w:rsidR="00BB3024" w:rsidRPr="00EF4457" w:rsidRDefault="00705AB2" w:rsidP="00EF4457">
            <w:pPr>
              <w:pStyle w:val="Prrafodelista"/>
              <w:numPr>
                <w:ilvl w:val="0"/>
                <w:numId w:val="14"/>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 xml:space="preserve">The initiative reflects the need to modernise the existing plant health regime, building on its recent ex-post evaluation. </w:t>
            </w:r>
          </w:p>
          <w:p w:rsidR="00705AB2" w:rsidRPr="00EF4457" w:rsidRDefault="00705AB2" w:rsidP="00EF4457">
            <w:pPr>
              <w:pStyle w:val="Prrafodelista"/>
              <w:numPr>
                <w:ilvl w:val="0"/>
                <w:numId w:val="14"/>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 xml:space="preserve">Improved prevention of the introduction of new pests and diseases will avoid expensive campaigns to eradicate or </w:t>
            </w:r>
            <w:r w:rsidRPr="00EF4457">
              <w:rPr>
                <w:rFonts w:ascii="Tahoma" w:hAnsi="Tahoma" w:cs="Tahoma"/>
                <w:sz w:val="20"/>
                <w:szCs w:val="20"/>
              </w:rPr>
              <w:lastRenderedPageBreak/>
              <w:t>control in a later stage, will prevent avoidable</w:t>
            </w:r>
            <w:r w:rsidR="00BB3024" w:rsidRPr="00EF4457">
              <w:rPr>
                <w:rFonts w:ascii="Tahoma" w:hAnsi="Tahoma" w:cs="Tahoma"/>
                <w:sz w:val="20"/>
                <w:szCs w:val="20"/>
              </w:rPr>
              <w:t xml:space="preserve"> </w:t>
            </w:r>
            <w:r w:rsidRPr="00EF4457">
              <w:rPr>
                <w:rFonts w:ascii="Tahoma" w:hAnsi="Tahoma" w:cs="Tahoma"/>
                <w:sz w:val="20"/>
                <w:szCs w:val="20"/>
              </w:rPr>
              <w:t>increases in pesticide use, will enable sustainable production and agricultural competitiveness and will help to ensure food security and protection of forests, landscape and gardens.</w:t>
            </w:r>
          </w:p>
          <w:p w:rsidR="00705AB2" w:rsidRPr="00EF4457" w:rsidRDefault="00705AB2" w:rsidP="00EF4457">
            <w:pPr>
              <w:pStyle w:val="Prrafodelista"/>
              <w:numPr>
                <w:ilvl w:val="0"/>
                <w:numId w:val="14"/>
              </w:numPr>
              <w:tabs>
                <w:tab w:val="center" w:pos="4320"/>
                <w:tab w:val="right" w:pos="8640"/>
              </w:tabs>
              <w:autoSpaceDE w:val="0"/>
              <w:autoSpaceDN w:val="0"/>
              <w:adjustRightInd w:val="0"/>
              <w:rPr>
                <w:rFonts w:ascii="Tahoma" w:hAnsi="Tahoma" w:cs="Tahoma"/>
                <w:sz w:val="20"/>
                <w:szCs w:val="20"/>
              </w:rPr>
            </w:pPr>
            <w:r w:rsidRPr="00EF4457">
              <w:rPr>
                <w:rFonts w:ascii="Tahoma" w:hAnsi="Tahoma" w:cs="Tahoma"/>
                <w:sz w:val="20"/>
                <w:szCs w:val="20"/>
              </w:rPr>
              <w:t>Improved legislation and better harmonised implementation provisions will allow to more effectively address the plant health impacts of globalisation and climate change.</w:t>
            </w:r>
          </w:p>
        </w:tc>
        <w:tc>
          <w:tcPr>
            <w:tcW w:w="1800"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136"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lang w:val="en-US"/>
              </w:rPr>
            </w:pPr>
          </w:p>
        </w:tc>
        <w:tc>
          <w:tcPr>
            <w:tcW w:w="1294" w:type="dxa"/>
            <w:shd w:val="clear" w:color="auto" w:fill="DAEEF3" w:themeFill="accent5" w:themeFillTint="33"/>
          </w:tcPr>
          <w:p w:rsidR="00705AB2" w:rsidRPr="00705AB2" w:rsidRDefault="00705AB2" w:rsidP="00705AB2">
            <w:pPr>
              <w:tabs>
                <w:tab w:val="center" w:pos="4320"/>
                <w:tab w:val="right" w:pos="8640"/>
              </w:tabs>
              <w:rPr>
                <w:rFonts w:ascii="Tahoma" w:hAnsi="Tahoma" w:cs="Tahoma"/>
                <w:sz w:val="20"/>
                <w:szCs w:val="20"/>
              </w:rPr>
            </w:pPr>
            <w:r w:rsidRPr="00705AB2">
              <w:rPr>
                <w:rFonts w:ascii="Tahoma" w:hAnsi="Tahoma" w:cs="Tahoma"/>
                <w:color w:val="000000"/>
                <w:sz w:val="20"/>
                <w:szCs w:val="20"/>
              </w:rPr>
              <w:t>2012</w:t>
            </w:r>
          </w:p>
        </w:tc>
      </w:tr>
    </w:tbl>
    <w:p w:rsidR="00705AB2" w:rsidRPr="003D72C1" w:rsidRDefault="00705AB2" w:rsidP="00705AB2">
      <w:pPr>
        <w:rPr>
          <w:rFonts w:ascii="Tahoma" w:hAnsi="Tahoma" w:cs="Tahoma"/>
          <w:sz w:val="20"/>
          <w:szCs w:val="20"/>
        </w:rPr>
      </w:pPr>
    </w:p>
    <w:p w:rsidR="00705AB2" w:rsidRPr="003D72C1" w:rsidRDefault="00705AB2" w:rsidP="00705AB2">
      <w:pPr>
        <w:rPr>
          <w:rFonts w:ascii="Tahoma" w:hAnsi="Tahoma" w:cs="Tahoma"/>
          <w:sz w:val="20"/>
          <w:szCs w:val="20"/>
        </w:rPr>
      </w:pPr>
    </w:p>
    <w:p w:rsidR="00705AB2" w:rsidRPr="003D72C1" w:rsidRDefault="00705AB2" w:rsidP="00705AB2">
      <w:pPr>
        <w:rPr>
          <w:rFonts w:ascii="Tahoma" w:hAnsi="Tahoma" w:cs="Tahoma"/>
          <w:sz w:val="20"/>
          <w:szCs w:val="20"/>
        </w:rPr>
      </w:pPr>
    </w:p>
    <w:p w:rsidR="00705AB2" w:rsidRPr="003D72C1" w:rsidRDefault="00705AB2" w:rsidP="00705AB2">
      <w:pPr>
        <w:rPr>
          <w:rFonts w:ascii="Tahoma" w:hAnsi="Tahoma" w:cs="Tahoma"/>
          <w:sz w:val="20"/>
          <w:szCs w:val="20"/>
        </w:rPr>
      </w:pPr>
    </w:p>
    <w:p w:rsidR="00705AB2" w:rsidRDefault="00705AB2" w:rsidP="00705AB2"/>
    <w:p w:rsidR="00CB30CD" w:rsidRDefault="00CB30CD">
      <w:pPr>
        <w:jc w:val="both"/>
        <w:rPr>
          <w:rFonts w:ascii="Times New Roman" w:eastAsia="Times New Roman" w:hAnsi="Times New Roman"/>
          <w:noProof/>
          <w:sz w:val="20"/>
        </w:rPr>
      </w:pPr>
    </w:p>
    <w:sectPr w:rsidR="00CB30CD" w:rsidSect="00705AB2">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5840" w:h="12240" w:orient="landscape"/>
      <w:pgMar w:top="965" w:right="810" w:bottom="1080" w:left="1258" w:header="720" w:footer="435"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FCC" w:rsidRDefault="00623FCC">
      <w:r>
        <w:separator/>
      </w:r>
    </w:p>
  </w:endnote>
  <w:endnote w:type="continuationSeparator" w:id="0">
    <w:p w:rsidR="00623FCC" w:rsidRDefault="00623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Courier"/>
    <w:charset w:val="00"/>
    <w:family w:val="auto"/>
    <w:pitch w:val="variable"/>
    <w:sig w:usb0="00000000" w:usb1="00000000" w:usb2="00000000" w:usb3="00000000" w:csb0="00000001"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05A" w:rsidRDefault="003A005A">
    <w:pPr>
      <w:pStyle w:val="Piedepgina"/>
      <w:ind w:right="-65"/>
    </w:pPr>
  </w:p>
  <w:p w:rsidR="00CB30CD" w:rsidRDefault="00705AB2">
    <w:pPr>
      <w:pStyle w:val="Piedepgina"/>
      <w:ind w:right="-65"/>
      <w:rPr>
        <w:rFonts w:ascii="Times New Roman" w:eastAsia="Times New Roman" w:hAnsi="Times New Roman"/>
        <w:noProof/>
        <w:sz w:val="20"/>
      </w:rPr>
    </w:pPr>
    <w:r>
      <w:rPr>
        <w:noProof/>
        <w:lang w:val="es-ES" w:eastAsia="es-ES"/>
      </w:rPr>
      <w:drawing>
        <wp:inline distT="0" distB="0" distL="0" distR="0">
          <wp:extent cx="6715125" cy="390525"/>
          <wp:effectExtent l="19050" t="0" r="9525" b="0"/>
          <wp:docPr id="16" name="Picture 16" descr="EB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B_footer"/>
                  <pic:cNvPicPr>
                    <a:picLocks noChangeAspect="1" noChangeArrowheads="1"/>
                  </pic:cNvPicPr>
                </pic:nvPicPr>
                <pic:blipFill>
                  <a:blip r:embed="rId1"/>
                  <a:srcRect/>
                  <a:stretch>
                    <a:fillRect/>
                  </a:stretch>
                </pic:blipFill>
                <pic:spPr bwMode="auto">
                  <a:xfrm>
                    <a:off x="0" y="0"/>
                    <a:ext cx="6715125" cy="390525"/>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0CD" w:rsidRDefault="00705AB2">
    <w:pPr>
      <w:pStyle w:val="Piedepgina"/>
      <w:rPr>
        <w:rFonts w:ascii="Times New Roman" w:eastAsia="Times New Roman" w:hAnsi="Times New Roman"/>
        <w:noProof/>
        <w:sz w:val="20"/>
      </w:rPr>
    </w:pPr>
    <w:r>
      <w:rPr>
        <w:rFonts w:ascii="Times New Roman" w:eastAsia="Times New Roman" w:hAnsi="Times New Roman"/>
        <w:noProof/>
        <w:sz w:val="20"/>
        <w:lang w:val="es-ES" w:eastAsia="es-ES"/>
      </w:rPr>
      <w:drawing>
        <wp:anchor distT="0" distB="0" distL="114300" distR="114300" simplePos="0" relativeHeight="251658240" behindDoc="1" locked="0" layoutInCell="1" allowOverlap="1">
          <wp:simplePos x="0" y="0"/>
          <wp:positionH relativeFrom="column">
            <wp:posOffset>-100330</wp:posOffset>
          </wp:positionH>
          <wp:positionV relativeFrom="page">
            <wp:posOffset>9372600</wp:posOffset>
          </wp:positionV>
          <wp:extent cx="6718300" cy="393700"/>
          <wp:effectExtent l="19050" t="0" r="6350" b="0"/>
          <wp:wrapNone/>
          <wp:docPr id="10" name="Picture 10" descr="EB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B_footer"/>
                  <pic:cNvPicPr>
                    <a:picLocks noChangeAspect="1" noChangeArrowheads="1"/>
                  </pic:cNvPicPr>
                </pic:nvPicPr>
                <pic:blipFill>
                  <a:blip r:embed="rId1"/>
                  <a:srcRect/>
                  <a:stretch>
                    <a:fillRect/>
                  </a:stretch>
                </pic:blipFill>
                <pic:spPr bwMode="auto">
                  <a:xfrm>
                    <a:off x="0" y="0"/>
                    <a:ext cx="6718300" cy="39370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05A" w:rsidRPr="003A005A" w:rsidRDefault="003A005A" w:rsidP="003A005A">
    <w:pPr>
      <w:pStyle w:val="Piedepgina"/>
    </w:pPr>
  </w:p>
  <w:p w:rsidR="003A005A" w:rsidRDefault="00705AB2">
    <w:pPr>
      <w:pStyle w:val="Piedepgina"/>
    </w:pPr>
    <w:r>
      <w:rPr>
        <w:noProof/>
        <w:lang w:val="es-ES" w:eastAsia="es-ES"/>
      </w:rPr>
      <w:drawing>
        <wp:inline distT="0" distB="0" distL="0" distR="0">
          <wp:extent cx="6715125" cy="390525"/>
          <wp:effectExtent l="19050" t="0" r="9525" b="0"/>
          <wp:docPr id="18" name="Picture 18" descr="EB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B_footer"/>
                  <pic:cNvPicPr>
                    <a:picLocks noChangeAspect="1" noChangeArrowheads="1"/>
                  </pic:cNvPicPr>
                </pic:nvPicPr>
                <pic:blipFill>
                  <a:blip r:embed="rId1"/>
                  <a:srcRect/>
                  <a:stretch>
                    <a:fillRect/>
                  </a:stretch>
                </pic:blipFill>
                <pic:spPr bwMode="auto">
                  <a:xfrm>
                    <a:off x="0" y="0"/>
                    <a:ext cx="6715125" cy="3905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FCC" w:rsidRDefault="00623FCC">
      <w:r>
        <w:separator/>
      </w:r>
    </w:p>
  </w:footnote>
  <w:footnote w:type="continuationSeparator" w:id="0">
    <w:p w:rsidR="00623FCC" w:rsidRDefault="00623F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0CD" w:rsidRDefault="00CB30CD">
    <w:pPr>
      <w:pStyle w:val="FreeForm"/>
      <w:rPr>
        <w:rFonts w:eastAsia="Times New Roman"/>
        <w:color w:val="auto"/>
      </w:rPr>
    </w:pPr>
    <w:r>
      <w:b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326"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890"/>
      <w:gridCol w:w="2880"/>
      <w:gridCol w:w="3600"/>
      <w:gridCol w:w="1800"/>
      <w:gridCol w:w="1170"/>
      <w:gridCol w:w="1196"/>
    </w:tblGrid>
    <w:tr w:rsidR="00705AB2" w:rsidRPr="00705AB2" w:rsidTr="00BB3024">
      <w:tc>
        <w:tcPr>
          <w:tcW w:w="2790" w:type="dxa"/>
          <w:shd w:val="clear" w:color="auto" w:fill="DBE5F1" w:themeFill="accent1" w:themeFillTint="33"/>
        </w:tcPr>
        <w:p w:rsidR="00705AB2" w:rsidRPr="00705AB2" w:rsidRDefault="00705AB2" w:rsidP="00140ADC">
          <w:pPr>
            <w:tabs>
              <w:tab w:val="center" w:pos="4320"/>
              <w:tab w:val="right" w:pos="8640"/>
            </w:tabs>
            <w:rPr>
              <w:rFonts w:ascii="Tahoma" w:hAnsi="Tahoma" w:cs="Tahoma"/>
              <w:sz w:val="20"/>
              <w:szCs w:val="20"/>
            </w:rPr>
          </w:pPr>
          <w:r w:rsidRPr="00705AB2">
            <w:rPr>
              <w:rFonts w:ascii="Tahoma" w:hAnsi="Tahoma" w:cs="Tahoma"/>
              <w:sz w:val="20"/>
              <w:szCs w:val="20"/>
            </w:rPr>
            <w:t>Proposal</w:t>
          </w:r>
        </w:p>
      </w:tc>
      <w:tc>
        <w:tcPr>
          <w:tcW w:w="1890" w:type="dxa"/>
          <w:shd w:val="clear" w:color="auto" w:fill="DBE5F1" w:themeFill="accent1" w:themeFillTint="33"/>
        </w:tcPr>
        <w:p w:rsidR="00705AB2" w:rsidRPr="00705AB2" w:rsidRDefault="00705AB2" w:rsidP="00140ADC">
          <w:pPr>
            <w:tabs>
              <w:tab w:val="center" w:pos="4320"/>
              <w:tab w:val="right" w:pos="8640"/>
            </w:tabs>
            <w:rPr>
              <w:rFonts w:ascii="Tahoma" w:hAnsi="Tahoma" w:cs="Tahoma"/>
              <w:sz w:val="20"/>
              <w:szCs w:val="20"/>
            </w:rPr>
          </w:pPr>
          <w:r w:rsidRPr="00705AB2">
            <w:rPr>
              <w:rFonts w:ascii="Tahoma" w:hAnsi="Tahoma" w:cs="Tahoma"/>
              <w:sz w:val="20"/>
              <w:szCs w:val="20"/>
            </w:rPr>
            <w:t>Leading DG</w:t>
          </w:r>
        </w:p>
      </w:tc>
      <w:tc>
        <w:tcPr>
          <w:tcW w:w="2880" w:type="dxa"/>
          <w:shd w:val="clear" w:color="auto" w:fill="DBE5F1" w:themeFill="accent1" w:themeFillTint="33"/>
        </w:tcPr>
        <w:p w:rsidR="00705AB2" w:rsidRPr="00705AB2" w:rsidRDefault="00705AB2" w:rsidP="00140ADC">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Relevance/Connection to/under other projects</w:t>
          </w:r>
        </w:p>
      </w:tc>
      <w:tc>
        <w:tcPr>
          <w:tcW w:w="3600" w:type="dxa"/>
          <w:shd w:val="clear" w:color="auto" w:fill="DBE5F1" w:themeFill="accent1" w:themeFillTint="33"/>
        </w:tcPr>
        <w:p w:rsidR="00705AB2" w:rsidRPr="00705AB2" w:rsidRDefault="00705AB2" w:rsidP="00140ADC">
          <w:pPr>
            <w:tabs>
              <w:tab w:val="center" w:pos="4320"/>
              <w:tab w:val="right" w:pos="8640"/>
            </w:tabs>
            <w:rPr>
              <w:rFonts w:ascii="Tahoma" w:hAnsi="Tahoma" w:cs="Tahoma"/>
              <w:sz w:val="20"/>
              <w:szCs w:val="20"/>
            </w:rPr>
          </w:pPr>
          <w:r w:rsidRPr="00705AB2">
            <w:rPr>
              <w:rFonts w:ascii="Tahoma" w:hAnsi="Tahoma" w:cs="Tahoma"/>
              <w:sz w:val="20"/>
              <w:szCs w:val="20"/>
            </w:rPr>
            <w:t>Objectives of proposed initiative</w:t>
          </w:r>
        </w:p>
      </w:tc>
      <w:tc>
        <w:tcPr>
          <w:tcW w:w="1800" w:type="dxa"/>
          <w:shd w:val="clear" w:color="auto" w:fill="DBE5F1" w:themeFill="accent1" w:themeFillTint="33"/>
        </w:tcPr>
        <w:p w:rsidR="00705AB2" w:rsidRPr="00705AB2" w:rsidRDefault="00705AB2" w:rsidP="00140ADC">
          <w:pPr>
            <w:tabs>
              <w:tab w:val="center" w:pos="4320"/>
              <w:tab w:val="right" w:pos="8640"/>
            </w:tabs>
            <w:rPr>
              <w:rFonts w:ascii="Tahoma" w:hAnsi="Tahoma" w:cs="Tahoma"/>
              <w:sz w:val="20"/>
              <w:szCs w:val="20"/>
              <w:lang w:val="en-US"/>
            </w:rPr>
          </w:pPr>
          <w:r w:rsidRPr="00705AB2">
            <w:rPr>
              <w:rFonts w:ascii="Tahoma" w:hAnsi="Tahoma" w:cs="Tahoma"/>
              <w:sz w:val="20"/>
              <w:szCs w:val="20"/>
              <w:lang w:val="en-US"/>
            </w:rPr>
            <w:t>Options considered by the Commission</w:t>
          </w:r>
        </w:p>
      </w:tc>
      <w:tc>
        <w:tcPr>
          <w:tcW w:w="1170" w:type="dxa"/>
          <w:shd w:val="clear" w:color="auto" w:fill="DBE5F1" w:themeFill="accent1" w:themeFillTint="33"/>
        </w:tcPr>
        <w:p w:rsidR="00705AB2" w:rsidRPr="00705AB2" w:rsidRDefault="00705AB2" w:rsidP="00140ADC">
          <w:pPr>
            <w:tabs>
              <w:tab w:val="center" w:pos="4320"/>
              <w:tab w:val="right" w:pos="8640"/>
            </w:tabs>
            <w:rPr>
              <w:rFonts w:ascii="Tahoma" w:hAnsi="Tahoma" w:cs="Tahoma"/>
              <w:sz w:val="20"/>
              <w:szCs w:val="20"/>
            </w:rPr>
          </w:pPr>
          <w:r w:rsidRPr="00705AB2">
            <w:rPr>
              <w:rFonts w:ascii="Tahoma" w:hAnsi="Tahoma" w:cs="Tahoma"/>
              <w:sz w:val="20"/>
              <w:szCs w:val="20"/>
            </w:rPr>
            <w:t>Next steps</w:t>
          </w:r>
        </w:p>
      </w:tc>
      <w:tc>
        <w:tcPr>
          <w:tcW w:w="1196" w:type="dxa"/>
          <w:shd w:val="clear" w:color="auto" w:fill="DBE5F1" w:themeFill="accent1" w:themeFillTint="33"/>
        </w:tcPr>
        <w:p w:rsidR="00705AB2" w:rsidRPr="00705AB2" w:rsidRDefault="00705AB2" w:rsidP="00140ADC">
          <w:pPr>
            <w:tabs>
              <w:tab w:val="center" w:pos="4320"/>
              <w:tab w:val="right" w:pos="8640"/>
            </w:tabs>
            <w:rPr>
              <w:rFonts w:ascii="Tahoma" w:hAnsi="Tahoma" w:cs="Tahoma"/>
              <w:sz w:val="20"/>
              <w:szCs w:val="20"/>
            </w:rPr>
          </w:pPr>
          <w:r w:rsidRPr="00705AB2">
            <w:rPr>
              <w:rFonts w:ascii="Tahoma" w:hAnsi="Tahoma" w:cs="Tahoma"/>
              <w:sz w:val="20"/>
              <w:szCs w:val="20"/>
            </w:rPr>
            <w:t>Foreseen adoption date</w:t>
          </w:r>
        </w:p>
      </w:tc>
    </w:tr>
  </w:tbl>
  <w:p w:rsidR="00CB30CD" w:rsidRDefault="00CB30CD">
    <w:pPr>
      <w:pStyle w:val="FreeForm"/>
      <w:rPr>
        <w:rFonts w:eastAsia="Times New Roman"/>
        <w:color w:val="auto"/>
      </w:rPr>
    </w:pPr>
    <w: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05A" w:rsidRDefault="00F06713">
    <w:pPr>
      <w:pStyle w:val="Encabezado"/>
    </w:pPr>
    <w:r>
      <w:rPr>
        <w:noProof/>
        <w:lang w:val="es-ES" w:eastAsia="es-ES"/>
      </w:rPr>
      <mc:AlternateContent>
        <mc:Choice Requires="wps">
          <w:drawing>
            <wp:anchor distT="0" distB="0" distL="114300" distR="114300" simplePos="0" relativeHeight="251657216" behindDoc="0" locked="1" layoutInCell="1" allowOverlap="1">
              <wp:simplePos x="0" y="0"/>
              <wp:positionH relativeFrom="page">
                <wp:posOffset>4727575</wp:posOffset>
              </wp:positionH>
              <wp:positionV relativeFrom="page">
                <wp:posOffset>447675</wp:posOffset>
              </wp:positionV>
              <wp:extent cx="2400300" cy="1143000"/>
              <wp:effectExtent l="3175"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05A" w:rsidRPr="003A005A" w:rsidRDefault="003A005A" w:rsidP="003A005A">
                          <w:pPr>
                            <w:spacing w:after="40"/>
                            <w:rPr>
                              <w:rFonts w:cs="Tahoma"/>
                              <w:b/>
                              <w:color w:val="75787D"/>
                              <w:kern w:val="14"/>
                              <w:sz w:val="13"/>
                              <w:szCs w:val="13"/>
                              <w:lang w:val="fr-FR"/>
                            </w:rPr>
                          </w:pPr>
                          <w:r w:rsidRPr="003A005A">
                            <w:rPr>
                              <w:rFonts w:cs="Tahoma"/>
                              <w:b/>
                              <w:color w:val="75787D"/>
                              <w:kern w:val="14"/>
                              <w:sz w:val="13"/>
                              <w:szCs w:val="13"/>
                              <w:lang w:val="fr-FR"/>
                            </w:rPr>
                            <w:t>Burson-Marsteller</w:t>
                          </w:r>
                          <w:r w:rsidRPr="003A005A">
                            <w:rPr>
                              <w:rFonts w:cs="Tahoma"/>
                              <w:b/>
                              <w:color w:val="75787D"/>
                              <w:kern w:val="14"/>
                              <w:sz w:val="13"/>
                              <w:szCs w:val="13"/>
                              <w:lang w:val="fr-FR"/>
                            </w:rPr>
                            <w:tab/>
                          </w:r>
                          <w:r w:rsidRPr="003A005A">
                            <w:rPr>
                              <w:rFonts w:cs="Tahoma"/>
                              <w:b/>
                              <w:color w:val="75787D"/>
                              <w:kern w:val="14"/>
                              <w:sz w:val="13"/>
                              <w:szCs w:val="13"/>
                              <w:lang w:val="fr-FR"/>
                            </w:rPr>
                            <w:tab/>
                          </w:r>
                          <w:r w:rsidRPr="003A005A">
                            <w:rPr>
                              <w:rFonts w:cs="Tahoma"/>
                              <w:color w:val="75787D"/>
                              <w:kern w:val="14"/>
                              <w:sz w:val="13"/>
                              <w:szCs w:val="13"/>
                              <w:lang w:val="fr-FR"/>
                            </w:rPr>
                            <w:t>T: +32 2 743 66 11</w:t>
                          </w:r>
                        </w:p>
                        <w:p w:rsidR="003A005A" w:rsidRPr="003A005A" w:rsidRDefault="003A005A" w:rsidP="003A005A">
                          <w:pPr>
                            <w:spacing w:after="40"/>
                            <w:rPr>
                              <w:rFonts w:cs="Tahoma"/>
                              <w:color w:val="75787D"/>
                              <w:kern w:val="14"/>
                              <w:sz w:val="13"/>
                              <w:szCs w:val="13"/>
                              <w:lang w:val="fr-FR"/>
                            </w:rPr>
                          </w:pPr>
                          <w:r w:rsidRPr="003A005A">
                            <w:rPr>
                              <w:rFonts w:cs="Tahoma"/>
                              <w:color w:val="75787D"/>
                              <w:kern w:val="14"/>
                              <w:sz w:val="13"/>
                              <w:szCs w:val="13"/>
                              <w:lang w:val="fr-FR"/>
                            </w:rPr>
                            <w:t>37 Square de Meeûs</w:t>
                          </w:r>
                          <w:r w:rsidRPr="003A005A">
                            <w:rPr>
                              <w:rFonts w:cs="Tahoma"/>
                              <w:color w:val="75787D"/>
                              <w:kern w:val="14"/>
                              <w:sz w:val="13"/>
                              <w:szCs w:val="13"/>
                              <w:lang w:val="fr-FR"/>
                            </w:rPr>
                            <w:tab/>
                          </w:r>
                          <w:r w:rsidRPr="003A005A">
                            <w:rPr>
                              <w:rFonts w:cs="Tahoma"/>
                              <w:color w:val="75787D"/>
                              <w:kern w:val="14"/>
                              <w:sz w:val="13"/>
                              <w:szCs w:val="13"/>
                              <w:lang w:val="fr-FR"/>
                            </w:rPr>
                            <w:tab/>
                            <w:t>F: +32 2 733 66 11</w:t>
                          </w:r>
                        </w:p>
                        <w:p w:rsidR="003A005A" w:rsidRPr="003A005A" w:rsidRDefault="003A005A" w:rsidP="003A005A">
                          <w:pPr>
                            <w:spacing w:after="40"/>
                            <w:rPr>
                              <w:rFonts w:cs="Tahoma"/>
                              <w:color w:val="75787D"/>
                              <w:kern w:val="14"/>
                              <w:sz w:val="13"/>
                              <w:szCs w:val="13"/>
                              <w:lang w:val="fr-FR"/>
                            </w:rPr>
                          </w:pPr>
                          <w:r w:rsidRPr="003A005A">
                            <w:rPr>
                              <w:rFonts w:cs="Tahoma"/>
                              <w:color w:val="75787D"/>
                              <w:kern w:val="14"/>
                              <w:sz w:val="13"/>
                              <w:szCs w:val="13"/>
                              <w:lang w:val="fr-FR"/>
                            </w:rPr>
                            <w:t xml:space="preserve">1000 Brussels </w:t>
                          </w:r>
                        </w:p>
                        <w:p w:rsidR="003A005A" w:rsidRPr="003A005A" w:rsidRDefault="003A005A" w:rsidP="003A005A">
                          <w:pPr>
                            <w:spacing w:after="40"/>
                            <w:rPr>
                              <w:rFonts w:cs="Tahoma"/>
                              <w:color w:val="75787D"/>
                              <w:kern w:val="14"/>
                              <w:sz w:val="13"/>
                              <w:szCs w:val="13"/>
                              <w:lang w:val="fr-FR"/>
                            </w:rPr>
                          </w:pPr>
                          <w:r w:rsidRPr="003A005A">
                            <w:rPr>
                              <w:rFonts w:cs="Tahoma"/>
                              <w:color w:val="75787D"/>
                              <w:kern w:val="14"/>
                              <w:sz w:val="13"/>
                              <w:szCs w:val="13"/>
                              <w:lang w:val="fr-FR"/>
                            </w:rPr>
                            <w:t>Belgium</w:t>
                          </w:r>
                        </w:p>
                        <w:p w:rsidR="003A005A" w:rsidRPr="003A005A" w:rsidRDefault="003A005A" w:rsidP="003A005A">
                          <w:pPr>
                            <w:spacing w:after="40"/>
                            <w:rPr>
                              <w:rFonts w:cs="Tahoma"/>
                              <w:color w:val="75787D"/>
                              <w:kern w:val="14"/>
                              <w:sz w:val="5"/>
                              <w:szCs w:val="13"/>
                              <w:lang w:val="fr-FR"/>
                            </w:rPr>
                          </w:pPr>
                        </w:p>
                        <w:p w:rsidR="003A005A" w:rsidRPr="00110AB2" w:rsidRDefault="003A005A" w:rsidP="003A005A">
                          <w:pPr>
                            <w:spacing w:after="40"/>
                            <w:rPr>
                              <w:rFonts w:cs="Tahoma"/>
                              <w:color w:val="75787D"/>
                              <w:kern w:val="14"/>
                              <w:sz w:val="13"/>
                              <w:szCs w:val="13"/>
                            </w:rPr>
                          </w:pPr>
                          <w:r>
                            <w:rPr>
                              <w:rFonts w:cs="Tahoma"/>
                              <w:color w:val="75787D"/>
                              <w:kern w:val="14"/>
                              <w:sz w:val="13"/>
                              <w:szCs w:val="13"/>
                              <w:lang w:val="fr-FR"/>
                            </w:rPr>
                            <w:t>www.bmbrussels.eu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372.25pt;margin-top:35.25pt;width:189pt;height:9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" filled="f" stroked="f">
              <v:textbox>
                <w:txbxContent>
                  <w:p w:rsidR="003A005A" w:rsidRPr="003A005A" w:rsidRDefault="003A005A" w:rsidP="003A005A">
                    <w:pPr>
                      <w:spacing w:after="40"/>
                      <w:rPr>
                        <w:rFonts w:cs="Tahoma"/>
                        <w:b/>
                        <w:color w:val="75787D"/>
                        <w:kern w:val="14"/>
                        <w:sz w:val="13"/>
                        <w:szCs w:val="13"/>
                        <w:lang w:val="fr-FR"/>
                      </w:rPr>
                    </w:pPr>
                    <w:r w:rsidRPr="003A005A">
                      <w:rPr>
                        <w:rFonts w:cs="Tahoma"/>
                        <w:b/>
                        <w:color w:val="75787D"/>
                        <w:kern w:val="14"/>
                        <w:sz w:val="13"/>
                        <w:szCs w:val="13"/>
                        <w:lang w:val="fr-FR"/>
                      </w:rPr>
                      <w:t>Burson-Marsteller</w:t>
                    </w:r>
                    <w:r w:rsidRPr="003A005A">
                      <w:rPr>
                        <w:rFonts w:cs="Tahoma"/>
                        <w:b/>
                        <w:color w:val="75787D"/>
                        <w:kern w:val="14"/>
                        <w:sz w:val="13"/>
                        <w:szCs w:val="13"/>
                        <w:lang w:val="fr-FR"/>
                      </w:rPr>
                      <w:tab/>
                    </w:r>
                    <w:r w:rsidRPr="003A005A">
                      <w:rPr>
                        <w:rFonts w:cs="Tahoma"/>
                        <w:b/>
                        <w:color w:val="75787D"/>
                        <w:kern w:val="14"/>
                        <w:sz w:val="13"/>
                        <w:szCs w:val="13"/>
                        <w:lang w:val="fr-FR"/>
                      </w:rPr>
                      <w:tab/>
                    </w:r>
                    <w:r w:rsidRPr="003A005A">
                      <w:rPr>
                        <w:rFonts w:cs="Tahoma"/>
                        <w:color w:val="75787D"/>
                        <w:kern w:val="14"/>
                        <w:sz w:val="13"/>
                        <w:szCs w:val="13"/>
                        <w:lang w:val="fr-FR"/>
                      </w:rPr>
                      <w:t>T: +32 2 743 66 11</w:t>
                    </w:r>
                  </w:p>
                  <w:p w:rsidR="003A005A" w:rsidRPr="003A005A" w:rsidRDefault="003A005A" w:rsidP="003A005A">
                    <w:pPr>
                      <w:spacing w:after="40"/>
                      <w:rPr>
                        <w:rFonts w:cs="Tahoma"/>
                        <w:color w:val="75787D"/>
                        <w:kern w:val="14"/>
                        <w:sz w:val="13"/>
                        <w:szCs w:val="13"/>
                        <w:lang w:val="fr-FR"/>
                      </w:rPr>
                    </w:pPr>
                    <w:r w:rsidRPr="003A005A">
                      <w:rPr>
                        <w:rFonts w:cs="Tahoma"/>
                        <w:color w:val="75787D"/>
                        <w:kern w:val="14"/>
                        <w:sz w:val="13"/>
                        <w:szCs w:val="13"/>
                        <w:lang w:val="fr-FR"/>
                      </w:rPr>
                      <w:t>37 Square de Meeûs</w:t>
                    </w:r>
                    <w:r w:rsidRPr="003A005A">
                      <w:rPr>
                        <w:rFonts w:cs="Tahoma"/>
                        <w:color w:val="75787D"/>
                        <w:kern w:val="14"/>
                        <w:sz w:val="13"/>
                        <w:szCs w:val="13"/>
                        <w:lang w:val="fr-FR"/>
                      </w:rPr>
                      <w:tab/>
                    </w:r>
                    <w:r w:rsidRPr="003A005A">
                      <w:rPr>
                        <w:rFonts w:cs="Tahoma"/>
                        <w:color w:val="75787D"/>
                        <w:kern w:val="14"/>
                        <w:sz w:val="13"/>
                        <w:szCs w:val="13"/>
                        <w:lang w:val="fr-FR"/>
                      </w:rPr>
                      <w:tab/>
                      <w:t>F: +32 2 733 66 11</w:t>
                    </w:r>
                  </w:p>
                  <w:p w:rsidR="003A005A" w:rsidRPr="003A005A" w:rsidRDefault="003A005A" w:rsidP="003A005A">
                    <w:pPr>
                      <w:spacing w:after="40"/>
                      <w:rPr>
                        <w:rFonts w:cs="Tahoma"/>
                        <w:color w:val="75787D"/>
                        <w:kern w:val="14"/>
                        <w:sz w:val="13"/>
                        <w:szCs w:val="13"/>
                        <w:lang w:val="fr-FR"/>
                      </w:rPr>
                    </w:pPr>
                    <w:r w:rsidRPr="003A005A">
                      <w:rPr>
                        <w:rFonts w:cs="Tahoma"/>
                        <w:color w:val="75787D"/>
                        <w:kern w:val="14"/>
                        <w:sz w:val="13"/>
                        <w:szCs w:val="13"/>
                        <w:lang w:val="fr-FR"/>
                      </w:rPr>
                      <w:t xml:space="preserve">1000 Brussels </w:t>
                    </w:r>
                  </w:p>
                  <w:p w:rsidR="003A005A" w:rsidRPr="003A005A" w:rsidRDefault="003A005A" w:rsidP="003A005A">
                    <w:pPr>
                      <w:spacing w:after="40"/>
                      <w:rPr>
                        <w:rFonts w:cs="Tahoma"/>
                        <w:color w:val="75787D"/>
                        <w:kern w:val="14"/>
                        <w:sz w:val="13"/>
                        <w:szCs w:val="13"/>
                        <w:lang w:val="fr-FR"/>
                      </w:rPr>
                    </w:pPr>
                    <w:r w:rsidRPr="003A005A">
                      <w:rPr>
                        <w:rFonts w:cs="Tahoma"/>
                        <w:color w:val="75787D"/>
                        <w:kern w:val="14"/>
                        <w:sz w:val="13"/>
                        <w:szCs w:val="13"/>
                        <w:lang w:val="fr-FR"/>
                      </w:rPr>
                      <w:t>Belgium</w:t>
                    </w:r>
                  </w:p>
                  <w:p w:rsidR="003A005A" w:rsidRPr="003A005A" w:rsidRDefault="003A005A" w:rsidP="003A005A">
                    <w:pPr>
                      <w:spacing w:after="40"/>
                      <w:rPr>
                        <w:rFonts w:cs="Tahoma"/>
                        <w:color w:val="75787D"/>
                        <w:kern w:val="14"/>
                        <w:sz w:val="5"/>
                        <w:szCs w:val="13"/>
                        <w:lang w:val="fr-FR"/>
                      </w:rPr>
                    </w:pPr>
                  </w:p>
                  <w:p w:rsidR="003A005A" w:rsidRPr="00110AB2" w:rsidRDefault="003A005A" w:rsidP="003A005A">
                    <w:pPr>
                      <w:spacing w:after="40"/>
                      <w:rPr>
                        <w:rFonts w:cs="Tahoma"/>
                        <w:color w:val="75787D"/>
                        <w:kern w:val="14"/>
                        <w:sz w:val="13"/>
                        <w:szCs w:val="13"/>
                      </w:rPr>
                    </w:pPr>
                    <w:r>
                      <w:rPr>
                        <w:rFonts w:cs="Tahoma"/>
                        <w:color w:val="75787D"/>
                        <w:kern w:val="14"/>
                        <w:sz w:val="13"/>
                        <w:szCs w:val="13"/>
                        <w:lang w:val="fr-FR"/>
                      </w:rPr>
                      <w:t>www.bmbrussels.eu</w:t>
                    </w:r>
                  </w:p>
                </w:txbxContent>
              </v:textbox>
              <w10:wrap anchorx="page" anchory="page"/>
              <w10:anchorlock/>
            </v:shape>
          </w:pict>
        </mc:Fallback>
      </mc:AlternateContent>
    </w:r>
    <w:r w:rsidR="00705AB2">
      <w:rPr>
        <w:noProof/>
        <w:lang w:val="es-ES" w:eastAsia="es-ES"/>
      </w:rPr>
      <w:drawing>
        <wp:inline distT="0" distB="0" distL="0" distR="0">
          <wp:extent cx="1466850" cy="685800"/>
          <wp:effectExtent l="1905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1"/>
                  <a:srcRect l="1447" b="4012"/>
                  <a:stretch>
                    <a:fillRect/>
                  </a:stretch>
                </pic:blipFill>
                <pic:spPr bwMode="auto">
                  <a:xfrm>
                    <a:off x="0" y="0"/>
                    <a:ext cx="1466850" cy="685800"/>
                  </a:xfrm>
                  <a:prstGeom prst="rect">
                    <a:avLst/>
                  </a:prstGeom>
                  <a:solidFill>
                    <a:srgbClr val="FFFFFF"/>
                  </a:solid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bullet"/>
      <w:lvlText w:val="·"/>
      <w:lvlJc w:val="left"/>
      <w:pPr>
        <w:tabs>
          <w:tab w:val="num" w:pos="270"/>
        </w:tabs>
        <w:ind w:left="270" w:firstLine="9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nsid w:val="00000002"/>
    <w:multiLevelType w:val="multilevel"/>
    <w:tmpl w:val="894EE874"/>
    <w:lvl w:ilvl="0">
      <w:start w:val="1"/>
      <w:numFmt w:val="bullet"/>
      <w:lvlText w:val="·"/>
      <w:lvlJc w:val="left"/>
      <w:pPr>
        <w:tabs>
          <w:tab w:val="num" w:pos="270"/>
        </w:tabs>
        <w:ind w:left="270" w:firstLine="9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nsid w:val="00000003"/>
    <w:multiLevelType w:val="multilevel"/>
    <w:tmpl w:val="894EE875"/>
    <w:lvl w:ilvl="0">
      <w:start w:val="1"/>
      <w:numFmt w:val="decimal"/>
      <w:isLgl/>
      <w:lvlText w:val="%1."/>
      <w:lvlJc w:val="left"/>
      <w:pPr>
        <w:tabs>
          <w:tab w:val="num" w:pos="360"/>
        </w:tabs>
        <w:ind w:left="360" w:firstLine="360"/>
      </w:pPr>
      <w:rPr>
        <w:rFonts w:hint="default"/>
        <w:b/>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60"/>
        </w:tabs>
        <w:ind w:left="360" w:firstLine="1800"/>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3">
    <w:nsid w:val="00000004"/>
    <w:multiLevelType w:val="multilevel"/>
    <w:tmpl w:val="894EE876"/>
    <w:lvl w:ilvl="0">
      <w:start w:val="1"/>
      <w:numFmt w:val="bullet"/>
      <w:suff w:val="nothing"/>
      <w:lvlText w:val="·"/>
      <w:lvlJc w:val="left"/>
      <w:pPr>
        <w:ind w:left="0"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4">
    <w:nsid w:val="00000005"/>
    <w:multiLevelType w:val="multilevel"/>
    <w:tmpl w:val="894EE877"/>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5">
    <w:nsid w:val="00000006"/>
    <w:multiLevelType w:val="multilevel"/>
    <w:tmpl w:val="894EE878"/>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4"/>
      </w:rPr>
    </w:lvl>
  </w:abstractNum>
  <w:abstractNum w:abstractNumId="6">
    <w:nsid w:val="00000007"/>
    <w:multiLevelType w:val="multilevel"/>
    <w:tmpl w:val="894EE879"/>
    <w:lvl w:ilvl="0">
      <w:start w:val="1"/>
      <w:numFmt w:val="bullet"/>
      <w:suff w:val="nothing"/>
      <w:lvlText w:val="·"/>
      <w:lvlJc w:val="left"/>
      <w:pPr>
        <w:ind w:left="0" w:firstLine="72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4"/>
      </w:rPr>
    </w:lvl>
  </w:abstractNum>
  <w:abstractNum w:abstractNumId="7">
    <w:nsid w:val="00000008"/>
    <w:multiLevelType w:val="multilevel"/>
    <w:tmpl w:val="894EE87A"/>
    <w:lvl w:ilvl="0">
      <w:start w:val="1"/>
      <w:numFmt w:val="bullet"/>
      <w:lvlText w:val="o"/>
      <w:lvlJc w:val="left"/>
      <w:pPr>
        <w:tabs>
          <w:tab w:val="num" w:pos="360"/>
        </w:tabs>
        <w:ind w:left="360" w:firstLine="360"/>
      </w:pPr>
      <w:rPr>
        <w:rFonts w:ascii="Courier New" w:eastAsia="ヒラギノ角ゴ Pro W3" w:hAnsi="Courier New" w:hint="default"/>
        <w:color w:val="000000"/>
        <w:position w:val="0"/>
        <w:sz w:val="20"/>
      </w:rPr>
    </w:lvl>
    <w:lvl w:ilvl="1">
      <w:start w:val="1"/>
      <w:numFmt w:val="bullet"/>
      <w:suff w:val="nothing"/>
      <w:lvlText w:val="o"/>
      <w:lvlJc w:val="left"/>
      <w:pPr>
        <w:ind w:left="0" w:firstLine="0"/>
      </w:pPr>
      <w:rPr>
        <w:rFonts w:ascii="Courier New" w:eastAsia="ヒラギノ角ゴ Pro W3" w:hAnsi="Courier New" w:hint="default"/>
        <w:color w:val="000000"/>
        <w:position w:val="0"/>
        <w:sz w:val="24"/>
      </w:rPr>
    </w:lvl>
    <w:lvl w:ilvl="2">
      <w:start w:val="1"/>
      <w:numFmt w:val="bullet"/>
      <w:lvlText w:val=""/>
      <w:lvlJc w:val="left"/>
      <w:pPr>
        <w:tabs>
          <w:tab w:val="num" w:pos="45"/>
        </w:tabs>
        <w:ind w:left="45" w:firstLine="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405"/>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1125"/>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1845"/>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2565"/>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3285"/>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4005"/>
      </w:pPr>
      <w:rPr>
        <w:rFonts w:ascii="Wingdings" w:eastAsia="ヒラギノ角ゴ Pro W3" w:hAnsi="Wingdings" w:hint="default"/>
        <w:color w:val="000000"/>
        <w:position w:val="0"/>
        <w:sz w:val="24"/>
      </w:rPr>
    </w:lvl>
  </w:abstractNum>
  <w:abstractNum w:abstractNumId="8">
    <w:nsid w:val="085734FF"/>
    <w:multiLevelType w:val="hybridMultilevel"/>
    <w:tmpl w:val="2FEAB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7C7D0B"/>
    <w:multiLevelType w:val="hybridMultilevel"/>
    <w:tmpl w:val="845E7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5E389A"/>
    <w:multiLevelType w:val="hybridMultilevel"/>
    <w:tmpl w:val="26E2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531524"/>
    <w:multiLevelType w:val="hybridMultilevel"/>
    <w:tmpl w:val="4A808290"/>
    <w:lvl w:ilvl="0" w:tplc="061017CC">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DE0EF0"/>
    <w:multiLevelType w:val="hybridMultilevel"/>
    <w:tmpl w:val="71589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AF5948"/>
    <w:multiLevelType w:val="hybridMultilevel"/>
    <w:tmpl w:val="E5F48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11"/>
  </w:num>
  <w:num w:numId="11">
    <w:abstractNumId w:val="12"/>
  </w:num>
  <w:num w:numId="12">
    <w:abstractNumId w:val="8"/>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024"/>
    <w:rsid w:val="00115A2E"/>
    <w:rsid w:val="002903D9"/>
    <w:rsid w:val="003A005A"/>
    <w:rsid w:val="00407649"/>
    <w:rsid w:val="0046285B"/>
    <w:rsid w:val="005E7E3A"/>
    <w:rsid w:val="006148F0"/>
    <w:rsid w:val="00622008"/>
    <w:rsid w:val="00623FCC"/>
    <w:rsid w:val="00692BE0"/>
    <w:rsid w:val="006C2465"/>
    <w:rsid w:val="00705AB2"/>
    <w:rsid w:val="00734597"/>
    <w:rsid w:val="00881E36"/>
    <w:rsid w:val="00B902C1"/>
    <w:rsid w:val="00BB3024"/>
    <w:rsid w:val="00CB30CD"/>
    <w:rsid w:val="00D03E2F"/>
    <w:rsid w:val="00EF4457"/>
    <w:rsid w:val="00F06713"/>
    <w:rsid w:val="00F45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B2"/>
    <w:pPr>
      <w:spacing w:after="200" w:line="276" w:lineRule="auto"/>
    </w:pPr>
    <w:rPr>
      <w:rFonts w:asciiTheme="minorHAnsi" w:eastAsiaTheme="minorHAnsi" w:hAnsiTheme="minorHAnsi" w:cstheme="minorBidi"/>
      <w:sz w:val="22"/>
      <w:szCs w:val="22"/>
      <w:lang w:val="de-D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eeForm">
    <w:name w:val="Free Form"/>
    <w:rsid w:val="00115A2E"/>
    <w:rPr>
      <w:rFonts w:eastAsia="ヒラギノ角ゴ Pro W3"/>
      <w:color w:val="000000"/>
      <w:lang w:eastAsia="en-US"/>
    </w:rPr>
  </w:style>
  <w:style w:type="paragraph" w:styleId="Piedepgina">
    <w:name w:val="footer"/>
    <w:basedOn w:val="Normal"/>
    <w:link w:val="PiedepginaCar"/>
    <w:uiPriority w:val="99"/>
    <w:rsid w:val="00115A2E"/>
    <w:pPr>
      <w:tabs>
        <w:tab w:val="center" w:pos="4320"/>
        <w:tab w:val="right" w:pos="8640"/>
      </w:tabs>
    </w:pPr>
  </w:style>
  <w:style w:type="paragraph" w:styleId="Encabezado">
    <w:name w:val="header"/>
    <w:basedOn w:val="Normal"/>
    <w:semiHidden/>
    <w:rsid w:val="00115A2E"/>
    <w:pPr>
      <w:tabs>
        <w:tab w:val="center" w:pos="4320"/>
        <w:tab w:val="right" w:pos="8640"/>
      </w:tabs>
    </w:pPr>
  </w:style>
  <w:style w:type="character" w:customStyle="1" w:styleId="PiedepginaCar">
    <w:name w:val="Pie de página Car"/>
    <w:basedOn w:val="Fuentedeprrafopredeter"/>
    <w:link w:val="Piedepgina"/>
    <w:uiPriority w:val="99"/>
    <w:rsid w:val="003A005A"/>
    <w:rPr>
      <w:rFonts w:ascii="Tahoma" w:eastAsia="ヒラギノ角ゴ Pro W3" w:hAnsi="Tahoma"/>
      <w:color w:val="000000"/>
      <w:sz w:val="24"/>
      <w:szCs w:val="24"/>
      <w:lang w:val="en-US" w:eastAsia="en-US"/>
    </w:rPr>
  </w:style>
  <w:style w:type="paragraph" w:styleId="Textodeglobo">
    <w:name w:val="Balloon Text"/>
    <w:basedOn w:val="Normal"/>
    <w:link w:val="TextodegloboCar"/>
    <w:uiPriority w:val="99"/>
    <w:semiHidden/>
    <w:unhideWhenUsed/>
    <w:rsid w:val="003A005A"/>
    <w:rPr>
      <w:rFonts w:cs="Tahoma"/>
      <w:sz w:val="16"/>
      <w:szCs w:val="16"/>
    </w:rPr>
  </w:style>
  <w:style w:type="character" w:customStyle="1" w:styleId="TextodegloboCar">
    <w:name w:val="Texto de globo Car"/>
    <w:basedOn w:val="Fuentedeprrafopredeter"/>
    <w:link w:val="Textodeglobo"/>
    <w:uiPriority w:val="99"/>
    <w:semiHidden/>
    <w:rsid w:val="003A005A"/>
    <w:rPr>
      <w:rFonts w:ascii="Tahoma" w:eastAsia="ヒラギノ角ゴ Pro W3" w:hAnsi="Tahoma" w:cs="Tahoma"/>
      <w:color w:val="000000"/>
      <w:sz w:val="16"/>
      <w:szCs w:val="16"/>
      <w:lang w:val="en-US" w:eastAsia="en-US"/>
    </w:rPr>
  </w:style>
  <w:style w:type="character" w:styleId="Hipervnculo">
    <w:name w:val="Hyperlink"/>
    <w:basedOn w:val="Fuentedeprrafopredeter"/>
    <w:uiPriority w:val="99"/>
    <w:unhideWhenUsed/>
    <w:rsid w:val="003A005A"/>
    <w:rPr>
      <w:color w:val="0000FF"/>
      <w:u w:val="single"/>
    </w:rPr>
  </w:style>
  <w:style w:type="paragraph" w:styleId="Prrafodelista">
    <w:name w:val="List Paragraph"/>
    <w:basedOn w:val="Normal"/>
    <w:uiPriority w:val="34"/>
    <w:qFormat/>
    <w:rsid w:val="00705AB2"/>
    <w:pPr>
      <w:spacing w:after="0" w:line="240" w:lineRule="auto"/>
      <w:ind w:left="720"/>
    </w:pPr>
    <w:rPr>
      <w:rFonts w:ascii="Calibri" w:hAnsi="Calibri" w:cs="Times New Roman"/>
      <w:lang w:val="en-US"/>
    </w:rPr>
  </w:style>
  <w:style w:type="table" w:styleId="Tablaconcuadrcula">
    <w:name w:val="Table Grid"/>
    <w:basedOn w:val="Tablanormal"/>
    <w:uiPriority w:val="59"/>
    <w:rsid w:val="00705AB2"/>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AB2"/>
    <w:pPr>
      <w:spacing w:after="200" w:line="276" w:lineRule="auto"/>
    </w:pPr>
    <w:rPr>
      <w:rFonts w:asciiTheme="minorHAnsi" w:eastAsiaTheme="minorHAnsi" w:hAnsiTheme="minorHAnsi" w:cstheme="minorBidi"/>
      <w:sz w:val="22"/>
      <w:szCs w:val="22"/>
      <w:lang w:val="de-D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eeForm">
    <w:name w:val="Free Form"/>
    <w:rsid w:val="00115A2E"/>
    <w:rPr>
      <w:rFonts w:eastAsia="ヒラギノ角ゴ Pro W3"/>
      <w:color w:val="000000"/>
      <w:lang w:eastAsia="en-US"/>
    </w:rPr>
  </w:style>
  <w:style w:type="paragraph" w:styleId="Piedepgina">
    <w:name w:val="footer"/>
    <w:basedOn w:val="Normal"/>
    <w:link w:val="PiedepginaCar"/>
    <w:uiPriority w:val="99"/>
    <w:rsid w:val="00115A2E"/>
    <w:pPr>
      <w:tabs>
        <w:tab w:val="center" w:pos="4320"/>
        <w:tab w:val="right" w:pos="8640"/>
      </w:tabs>
    </w:pPr>
  </w:style>
  <w:style w:type="paragraph" w:styleId="Encabezado">
    <w:name w:val="header"/>
    <w:basedOn w:val="Normal"/>
    <w:semiHidden/>
    <w:rsid w:val="00115A2E"/>
    <w:pPr>
      <w:tabs>
        <w:tab w:val="center" w:pos="4320"/>
        <w:tab w:val="right" w:pos="8640"/>
      </w:tabs>
    </w:pPr>
  </w:style>
  <w:style w:type="character" w:customStyle="1" w:styleId="PiedepginaCar">
    <w:name w:val="Pie de página Car"/>
    <w:basedOn w:val="Fuentedeprrafopredeter"/>
    <w:link w:val="Piedepgina"/>
    <w:uiPriority w:val="99"/>
    <w:rsid w:val="003A005A"/>
    <w:rPr>
      <w:rFonts w:ascii="Tahoma" w:eastAsia="ヒラギノ角ゴ Pro W3" w:hAnsi="Tahoma"/>
      <w:color w:val="000000"/>
      <w:sz w:val="24"/>
      <w:szCs w:val="24"/>
      <w:lang w:val="en-US" w:eastAsia="en-US"/>
    </w:rPr>
  </w:style>
  <w:style w:type="paragraph" w:styleId="Textodeglobo">
    <w:name w:val="Balloon Text"/>
    <w:basedOn w:val="Normal"/>
    <w:link w:val="TextodegloboCar"/>
    <w:uiPriority w:val="99"/>
    <w:semiHidden/>
    <w:unhideWhenUsed/>
    <w:rsid w:val="003A005A"/>
    <w:rPr>
      <w:rFonts w:cs="Tahoma"/>
      <w:sz w:val="16"/>
      <w:szCs w:val="16"/>
    </w:rPr>
  </w:style>
  <w:style w:type="character" w:customStyle="1" w:styleId="TextodegloboCar">
    <w:name w:val="Texto de globo Car"/>
    <w:basedOn w:val="Fuentedeprrafopredeter"/>
    <w:link w:val="Textodeglobo"/>
    <w:uiPriority w:val="99"/>
    <w:semiHidden/>
    <w:rsid w:val="003A005A"/>
    <w:rPr>
      <w:rFonts w:ascii="Tahoma" w:eastAsia="ヒラギノ角ゴ Pro W3" w:hAnsi="Tahoma" w:cs="Tahoma"/>
      <w:color w:val="000000"/>
      <w:sz w:val="16"/>
      <w:szCs w:val="16"/>
      <w:lang w:val="en-US" w:eastAsia="en-US"/>
    </w:rPr>
  </w:style>
  <w:style w:type="character" w:styleId="Hipervnculo">
    <w:name w:val="Hyperlink"/>
    <w:basedOn w:val="Fuentedeprrafopredeter"/>
    <w:uiPriority w:val="99"/>
    <w:unhideWhenUsed/>
    <w:rsid w:val="003A005A"/>
    <w:rPr>
      <w:color w:val="0000FF"/>
      <w:u w:val="single"/>
    </w:rPr>
  </w:style>
  <w:style w:type="paragraph" w:styleId="Prrafodelista">
    <w:name w:val="List Paragraph"/>
    <w:basedOn w:val="Normal"/>
    <w:uiPriority w:val="34"/>
    <w:qFormat/>
    <w:rsid w:val="00705AB2"/>
    <w:pPr>
      <w:spacing w:after="0" w:line="240" w:lineRule="auto"/>
      <w:ind w:left="720"/>
    </w:pPr>
    <w:rPr>
      <w:rFonts w:ascii="Calibri" w:hAnsi="Calibri" w:cs="Times New Roman"/>
      <w:lang w:val="en-US"/>
    </w:rPr>
  </w:style>
  <w:style w:type="table" w:styleId="Tablaconcuadrcula">
    <w:name w:val="Table Grid"/>
    <w:basedOn w:val="Tablanormal"/>
    <w:uiPriority w:val="59"/>
    <w:rsid w:val="00705AB2"/>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I:\NEW%20BIZ\Tools%20for%20Proposals\Credentials%20&amp;%20Templates\BM%20BRUSSELS%20PRES%20TEMPLATES\B-M%20Letter%20template%20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8010ADF-E5DC-495B-A7F0-C4EE8562ADB5}"/>
</file>

<file path=customXml/itemProps2.xml><?xml version="1.0" encoding="utf-8"?>
<ds:datastoreItem xmlns:ds="http://schemas.openxmlformats.org/officeDocument/2006/customXml" ds:itemID="{EE6D30EB-666A-41F8-A33F-CD8F50716AA0}"/>
</file>

<file path=customXml/itemProps3.xml><?xml version="1.0" encoding="utf-8"?>
<ds:datastoreItem xmlns:ds="http://schemas.openxmlformats.org/officeDocument/2006/customXml" ds:itemID="{7B19BA49-A6B5-435D-B169-06F56A72900E}"/>
</file>

<file path=docProps/app.xml><?xml version="1.0" encoding="utf-8"?>
<Properties xmlns="http://schemas.openxmlformats.org/officeDocument/2006/extended-properties" xmlns:vt="http://schemas.openxmlformats.org/officeDocument/2006/docPropsVTypes">
  <Template>B-M Letter template 2010.dotx</Template>
  <TotalTime>0</TotalTime>
  <Pages>14</Pages>
  <Words>2390</Words>
  <Characters>13146</Characters>
  <Application>Microsoft Office Word</Application>
  <DocSecurity>0</DocSecurity>
  <Lines>109</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lpstr>
    </vt:vector>
  </TitlesOfParts>
  <Company>Orion Consulting</Company>
  <LinksUpToDate>false</LinksUpToDate>
  <CharactersWithSpaces>15505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Riss</dc:creator>
  <cp:lastModifiedBy>David Gomez</cp:lastModifiedBy>
  <cp:revision>2</cp:revision>
  <dcterms:created xsi:type="dcterms:W3CDTF">2010-11-30T06:25:00Z</dcterms:created>
  <dcterms:modified xsi:type="dcterms:W3CDTF">2010-11-30T06:25:00Z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