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ED5CCD" w:rsidP="00330BA0">
      <w:pPr>
        <w:jc w:val="center"/>
      </w:pPr>
      <w:r>
        <w:rPr>
          <w:noProof/>
          <w:lang w:eastAsia="es-ES"/>
        </w:rPr>
        <w:drawing>
          <wp:inline distT="0" distB="0" distL="0" distR="0">
            <wp:extent cx="781050" cy="849016"/>
            <wp:effectExtent l="0" t="0" r="0" b="825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92450" cy="861408"/>
                    </a:xfrm>
                    <a:prstGeom prst="rect">
                      <a:avLst/>
                    </a:prstGeom>
                  </pic:spPr>
                </pic:pic>
              </a:graphicData>
            </a:graphic>
          </wp:inline>
        </w:drawing>
      </w:r>
    </w:p>
    <w:p w:rsidR="00330BA0" w:rsidRPr="00330BA0" w:rsidRDefault="00ED5CCD" w:rsidP="00330BA0">
      <w:pPr>
        <w:jc w:val="center"/>
        <w:rPr>
          <w:b/>
          <w:u w:val="single"/>
        </w:rPr>
      </w:pPr>
      <w:r>
        <w:rPr>
          <w:b/>
          <w:u w:val="single"/>
        </w:rPr>
        <w:t>COMITÉ DE PROFESIONALES-</w:t>
      </w:r>
      <w:r w:rsidR="00330BA0" w:rsidRPr="00330BA0">
        <w:rPr>
          <w:b/>
          <w:u w:val="single"/>
        </w:rPr>
        <w:t>INFORME MAYO 2012</w:t>
      </w:r>
    </w:p>
    <w:p w:rsidR="00330BA0" w:rsidRDefault="00330BA0" w:rsidP="00F847C4">
      <w:pPr>
        <w:jc w:val="both"/>
      </w:pPr>
    </w:p>
    <w:p w:rsidR="00A7472C" w:rsidRDefault="00330BA0" w:rsidP="00F847C4">
      <w:pPr>
        <w:jc w:val="both"/>
      </w:pPr>
      <w:r>
        <w:t xml:space="preserve">1. </w:t>
      </w:r>
      <w:r w:rsidR="000916C1">
        <w:t>Competición</w:t>
      </w:r>
    </w:p>
    <w:p w:rsidR="000916C1" w:rsidRDefault="000916C1" w:rsidP="00F847C4">
      <w:pPr>
        <w:jc w:val="both"/>
      </w:pPr>
      <w:r>
        <w:t>Durante el mes de mayo la RFEG a través de Match Golf  ha acordado con Naturgolf, empresa pública que gestiona Izki Golf, un patrocinio de 100.000€ para el Campeonato de España de Profesionales Masculino</w:t>
      </w:r>
      <w:r w:rsidR="00467059">
        <w:t xml:space="preserve"> 2012</w:t>
      </w:r>
      <w:r>
        <w:t xml:space="preserve"> que tendrá lugar del 26 al 29 de julio en el campo alavés.</w:t>
      </w:r>
      <w:r w:rsidR="00B23F92">
        <w:t xml:space="preserve"> Este año</w:t>
      </w:r>
      <w:r w:rsidR="0031202F">
        <w:t xml:space="preserve"> el m</w:t>
      </w:r>
      <w:r w:rsidR="00F847C4">
        <w:t>ontante en premios baja</w:t>
      </w:r>
      <w:r w:rsidR="0031202F">
        <w:t xml:space="preserve"> de 160.000€ a 100.00</w:t>
      </w:r>
      <w:r w:rsidR="00B23F92">
        <w:t>0€ para así poder co-patrocinar</w:t>
      </w:r>
      <w:r w:rsidR="0031202F">
        <w:t xml:space="preserve"> el Alps de Andalucía que se juega en San Roque a mediados de junio.</w:t>
      </w:r>
      <w:r w:rsidR="00F847C4">
        <w:t xml:space="preserve"> Se logra de esta manera el objetivo de mantener en cuatro el número de pruebas Alps en España tras disminuir Peugeot su aportación al circuito nacional.</w:t>
      </w:r>
    </w:p>
    <w:p w:rsidR="000916C1" w:rsidRDefault="000916C1" w:rsidP="00F847C4">
      <w:pPr>
        <w:jc w:val="both"/>
      </w:pPr>
      <w:r>
        <w:t>Además se ha confirmado el campo de La Graiera como sede del Challenge de Cataluña que se jugará del 27 al 30 de septiembre.</w:t>
      </w:r>
      <w:r w:rsidR="00787B85">
        <w:t xml:space="preserve"> Tras la primera visita de David Gómez el campo ha experimentado importantes mejoras en cuanto al mantenimiento tras seguir el plan marcado por la Green Section de la RFEG. La Graiera aporta 60.000€ al torneo.</w:t>
      </w:r>
    </w:p>
    <w:p w:rsidR="00467059" w:rsidRDefault="00467059" w:rsidP="00F847C4">
      <w:pPr>
        <w:jc w:val="both"/>
      </w:pPr>
      <w:r>
        <w:t xml:space="preserve">También se ha llegado a un acuerdo con Turismo de Tenerife para que sea el patrocinador oficial del Open de España Femenino 2012 aportando 200.000€. La sede finalmente será Golf Las Américas.  </w:t>
      </w:r>
    </w:p>
    <w:p w:rsidR="0031202F" w:rsidRDefault="00787B85" w:rsidP="00F847C4">
      <w:pPr>
        <w:jc w:val="both"/>
      </w:pPr>
      <w:r>
        <w:t>Por cuarto año consecutivo se ha escogido Tecina Golf para la celebración del Challenge de España debido al patrocinio del Gobierno Canario</w:t>
      </w:r>
      <w:r w:rsidR="00B23F92">
        <w:t xml:space="preserve"> y Fred Olsen. É</w:t>
      </w:r>
      <w:r w:rsidR="0031202F">
        <w:t>stos se encargan de cubrir los gastos de organización y la RFEG el montante en premios.</w:t>
      </w:r>
    </w:p>
    <w:p w:rsidR="00345624" w:rsidRDefault="00345624" w:rsidP="00F847C4">
      <w:pPr>
        <w:jc w:val="both"/>
      </w:pPr>
    </w:p>
    <w:p w:rsidR="00345624" w:rsidRDefault="00330BA0" w:rsidP="00F847C4">
      <w:pPr>
        <w:jc w:val="both"/>
      </w:pPr>
      <w:r>
        <w:t xml:space="preserve">2. </w:t>
      </w:r>
      <w:r w:rsidR="0031202F">
        <w:t>Pro Spain Team</w:t>
      </w:r>
    </w:p>
    <w:p w:rsidR="00ED5CCD" w:rsidRDefault="0031202F" w:rsidP="00F847C4">
      <w:pPr>
        <w:jc w:val="both"/>
      </w:pPr>
      <w:r>
        <w:t>El grueso de torneos para los integrantes del Pro Spain Team ha comenzado en el mes de mayo. Los resultados más destacados han sido el quinto puesto de Jorge Campillo en el Open de España, el cuarto puesto de Nacho Elvira en el Challenge de Francia, el sexto puesto de Pedro Oriol en el Challenge de Bélgica, y dos top ten de Carlota Ciganda en el Ladies European Tour (Turquía y Alemania). Además Jesús Legarrea quedó en segunda posición en el Alps de Italia tras perder en el desempate.</w:t>
      </w:r>
    </w:p>
    <w:p w:rsidR="00ED5CCD" w:rsidRDefault="00ED5CCD" w:rsidP="00F847C4">
      <w:pPr>
        <w:jc w:val="both"/>
      </w:pPr>
    </w:p>
    <w:p w:rsidR="00436055" w:rsidRDefault="00ED5CCD" w:rsidP="00F847C4">
      <w:pPr>
        <w:jc w:val="both"/>
      </w:pPr>
      <w:r>
        <w:t>3</w:t>
      </w:r>
      <w:r w:rsidR="00330BA0">
        <w:t xml:space="preserve">. </w:t>
      </w:r>
      <w:r>
        <w:t>Subvenciones</w:t>
      </w:r>
    </w:p>
    <w:p w:rsidR="00345624" w:rsidRDefault="00ED5CCD" w:rsidP="00F847C4">
      <w:pPr>
        <w:jc w:val="both"/>
      </w:pPr>
      <w:r>
        <w:t>En la próxima reunión del comité que tendrá lugar el</w:t>
      </w:r>
      <w:r w:rsidR="00B23F92">
        <w:t xml:space="preserve"> día 21 de junio se propondrá abrir una partida dentro del presupuesto para</w:t>
      </w:r>
      <w:r>
        <w:t xml:space="preserve"> cubrir la inscripción de la escuela del Asian Tour a aquellos jugadores españoles que logren obtener la tarjeta completa.</w:t>
      </w:r>
      <w:bookmarkStart w:id="0" w:name="_GoBack"/>
      <w:bookmarkEnd w:id="0"/>
    </w:p>
    <w:sectPr w:rsidR="00345624" w:rsidSect="00F847C4">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916C1"/>
    <w:rsid w:val="001F3816"/>
    <w:rsid w:val="00203464"/>
    <w:rsid w:val="002164F0"/>
    <w:rsid w:val="00241B80"/>
    <w:rsid w:val="00267BCB"/>
    <w:rsid w:val="002A3186"/>
    <w:rsid w:val="0031202F"/>
    <w:rsid w:val="00330BA0"/>
    <w:rsid w:val="00345624"/>
    <w:rsid w:val="00436055"/>
    <w:rsid w:val="00467059"/>
    <w:rsid w:val="00471765"/>
    <w:rsid w:val="006E7A12"/>
    <w:rsid w:val="006F50E3"/>
    <w:rsid w:val="00762E66"/>
    <w:rsid w:val="00787B85"/>
    <w:rsid w:val="007A111E"/>
    <w:rsid w:val="007B4A53"/>
    <w:rsid w:val="0084544B"/>
    <w:rsid w:val="0085428B"/>
    <w:rsid w:val="008B6E2F"/>
    <w:rsid w:val="00A7472C"/>
    <w:rsid w:val="00B23F92"/>
    <w:rsid w:val="00BC5D48"/>
    <w:rsid w:val="00ED5CCD"/>
    <w:rsid w:val="00F847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52626CF-CA90-40BA-98C0-C8A451D2674D}"/>
</file>

<file path=customXml/itemProps2.xml><?xml version="1.0" encoding="utf-8"?>
<ds:datastoreItem xmlns:ds="http://schemas.openxmlformats.org/officeDocument/2006/customXml" ds:itemID="{258E3690-E4CC-4ED3-B008-C98633A120E0}"/>
</file>

<file path=customXml/itemProps3.xml><?xml version="1.0" encoding="utf-8"?>
<ds:datastoreItem xmlns:ds="http://schemas.openxmlformats.org/officeDocument/2006/customXml" ds:itemID="{EE2751E0-AE0F-438E-B94A-DCD3B35EEFD7}"/>
</file>

<file path=docProps/app.xml><?xml version="1.0" encoding="utf-8"?>
<Properties xmlns="http://schemas.openxmlformats.org/officeDocument/2006/extended-properties" xmlns:vt="http://schemas.openxmlformats.org/officeDocument/2006/docPropsVTypes">
  <Template>Normal</Template>
  <TotalTime>506</TotalTime>
  <Pages>1</Pages>
  <Words>336</Words>
  <Characters>1848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6</cp:revision>
  <dcterms:created xsi:type="dcterms:W3CDTF">2012-05-29T07:28:00Z</dcterms:created>
  <dcterms:modified xsi:type="dcterms:W3CDTF">2012-06-01T16:10:00Z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